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1EBB59" w14:textId="2A0DBC92" w:rsidR="00A9682A" w:rsidRPr="00E67EC5" w:rsidRDefault="00EA065F" w:rsidP="003C601D">
      <w:pPr>
        <w:shd w:val="clear" w:color="auto" w:fill="FFFFFF"/>
        <w:tabs>
          <w:tab w:val="left" w:pos="5910"/>
        </w:tabs>
        <w:spacing w:line="360" w:lineRule="auto"/>
        <w:ind w:firstLine="720"/>
        <w:jc w:val="center"/>
        <w:rPr>
          <w:b/>
          <w:caps/>
          <w:color w:val="000000"/>
          <w:spacing w:val="3"/>
          <w:sz w:val="28"/>
          <w:szCs w:val="28"/>
          <w:lang w:val="en-GB"/>
        </w:rPr>
      </w:pPr>
      <w:r w:rsidRPr="00E67EC5">
        <w:rPr>
          <w:b/>
          <w:caps/>
          <w:color w:val="000000"/>
          <w:spacing w:val="3"/>
          <w:sz w:val="28"/>
          <w:szCs w:val="28"/>
          <w:lang w:val="en-GB"/>
        </w:rPr>
        <w:t>Issues of quality of expert opinion</w:t>
      </w:r>
      <w:r w:rsidR="00440078">
        <w:rPr>
          <w:b/>
          <w:caps/>
          <w:color w:val="000000"/>
          <w:spacing w:val="3"/>
          <w:sz w:val="28"/>
          <w:szCs w:val="28"/>
          <w:lang w:val="en-GB"/>
        </w:rPr>
        <w:t>,</w:t>
      </w:r>
      <w:r w:rsidRPr="00E67EC5">
        <w:rPr>
          <w:b/>
          <w:caps/>
          <w:color w:val="000000"/>
          <w:spacing w:val="3"/>
          <w:sz w:val="28"/>
          <w:szCs w:val="28"/>
          <w:lang w:val="en-GB"/>
        </w:rPr>
        <w:t xml:space="preserve"> and certain aspects of forensic expert safety in criminal, civil and administrative proceedings</w:t>
      </w:r>
    </w:p>
    <w:p w14:paraId="738CB773" w14:textId="77777777" w:rsidR="00AB2969" w:rsidRDefault="00AB2969" w:rsidP="00AB2969">
      <w:pPr>
        <w:widowControl w:val="0"/>
        <w:shd w:val="clear" w:color="auto" w:fill="FFFFFF"/>
        <w:jc w:val="center"/>
        <w:rPr>
          <w:rFonts w:eastAsia="Calibri"/>
          <w:b/>
          <w:sz w:val="28"/>
          <w:szCs w:val="28"/>
          <w:lang w:val="uk-UA" w:eastAsia="en-US"/>
        </w:rPr>
      </w:pPr>
    </w:p>
    <w:p w14:paraId="27170D32" w14:textId="77777777" w:rsidR="00AB2969" w:rsidRPr="00AB2969" w:rsidRDefault="00AB2969" w:rsidP="00AB2969">
      <w:pPr>
        <w:widowControl w:val="0"/>
        <w:shd w:val="clear" w:color="auto" w:fill="FFFFFF"/>
        <w:jc w:val="center"/>
        <w:rPr>
          <w:rFonts w:eastAsia="Calibri"/>
          <w:sz w:val="28"/>
          <w:szCs w:val="28"/>
          <w:lang w:val="en-US" w:eastAsia="en-US"/>
        </w:rPr>
      </w:pPr>
      <w:proofErr w:type="spellStart"/>
      <w:r w:rsidRPr="00AB2969">
        <w:rPr>
          <w:rFonts w:eastAsia="Calibri"/>
          <w:b/>
          <w:sz w:val="28"/>
          <w:szCs w:val="28"/>
          <w:lang w:val="en-US" w:eastAsia="en-US"/>
        </w:rPr>
        <w:t>Kofanov</w:t>
      </w:r>
      <w:proofErr w:type="spellEnd"/>
      <w:r w:rsidRPr="00AB2969">
        <w:rPr>
          <w:rFonts w:eastAsia="Calibri"/>
          <w:b/>
          <w:sz w:val="28"/>
          <w:szCs w:val="28"/>
          <w:vertAlign w:val="superscript"/>
          <w:lang w:val="en-US" w:eastAsia="en-US"/>
        </w:rPr>
        <w:t xml:space="preserve"> </w:t>
      </w:r>
      <w:proofErr w:type="spellStart"/>
      <w:r w:rsidRPr="00AB2969">
        <w:rPr>
          <w:rFonts w:eastAsia="Calibri"/>
          <w:b/>
          <w:sz w:val="28"/>
          <w:szCs w:val="28"/>
          <w:lang w:val="en-US" w:eastAsia="en-US"/>
        </w:rPr>
        <w:t>Andrii</w:t>
      </w:r>
      <w:proofErr w:type="spellEnd"/>
    </w:p>
    <w:p w14:paraId="3A620D08" w14:textId="77777777" w:rsidR="00AB2969" w:rsidRPr="00AB2969" w:rsidRDefault="00AB2969" w:rsidP="00AB2969">
      <w:pPr>
        <w:widowControl w:val="0"/>
        <w:shd w:val="clear" w:color="auto" w:fill="FFFFFF"/>
        <w:jc w:val="center"/>
        <w:rPr>
          <w:rFonts w:eastAsia="Calibri"/>
          <w:iCs/>
          <w:sz w:val="28"/>
          <w:szCs w:val="28"/>
          <w:lang w:val="en-US" w:eastAsia="en-US"/>
        </w:rPr>
      </w:pPr>
      <w:r w:rsidRPr="00AB2969">
        <w:rPr>
          <w:rFonts w:eastAsia="Calibri"/>
          <w:sz w:val="28"/>
          <w:szCs w:val="28"/>
          <w:lang w:val="en-US" w:eastAsia="en-US"/>
        </w:rPr>
        <w:t xml:space="preserve">Legal Advisor to the Council of Europe </w:t>
      </w:r>
      <w:proofErr w:type="spellStart"/>
      <w:r w:rsidRPr="00AB2969">
        <w:rPr>
          <w:rFonts w:eastAsia="Calibri"/>
          <w:sz w:val="28"/>
          <w:szCs w:val="28"/>
          <w:lang w:val="en-US" w:eastAsia="en-US"/>
        </w:rPr>
        <w:t>Programme</w:t>
      </w:r>
      <w:proofErr w:type="spellEnd"/>
      <w:r w:rsidRPr="00AB2969">
        <w:rPr>
          <w:rFonts w:eastAsia="Calibri"/>
          <w:sz w:val="28"/>
          <w:szCs w:val="28"/>
          <w:lang w:val="en-US" w:eastAsia="en-US"/>
        </w:rPr>
        <w:t xml:space="preserve"> “Decentralization and Territorial Consolidation in Ukraine”</w:t>
      </w:r>
      <w:r w:rsidRPr="00AB2969">
        <w:rPr>
          <w:rFonts w:eastAsia="Calibri"/>
          <w:sz w:val="28"/>
          <w:szCs w:val="28"/>
          <w:lang w:val="uk-UA" w:eastAsia="en-US"/>
        </w:rPr>
        <w:t xml:space="preserve">, </w:t>
      </w:r>
      <w:r w:rsidRPr="00AB2969">
        <w:rPr>
          <w:rFonts w:eastAsia="Calibri"/>
          <w:sz w:val="28"/>
          <w:szCs w:val="28"/>
          <w:lang w:val="en-US" w:eastAsia="en-US"/>
        </w:rPr>
        <w:t>PhD of</w:t>
      </w:r>
      <w:r w:rsidRPr="00AB2969">
        <w:rPr>
          <w:rFonts w:eastAsia="Calibri"/>
          <w:i/>
          <w:iCs/>
          <w:sz w:val="28"/>
          <w:szCs w:val="28"/>
          <w:lang w:val="en-US" w:eastAsia="en-US"/>
        </w:rPr>
        <w:t xml:space="preserve"> </w:t>
      </w:r>
      <w:r w:rsidRPr="00AB2969">
        <w:rPr>
          <w:rFonts w:eastAsia="Calibri"/>
          <w:iCs/>
          <w:sz w:val="28"/>
          <w:szCs w:val="28"/>
          <w:lang w:val="en-US" w:eastAsia="en-US"/>
        </w:rPr>
        <w:t>J</w:t>
      </w:r>
      <w:r w:rsidRPr="00AB2969">
        <w:rPr>
          <w:rFonts w:eastAsia="Calibri"/>
          <w:sz w:val="28"/>
          <w:szCs w:val="28"/>
          <w:lang w:val="en-US" w:eastAsia="en-US"/>
        </w:rPr>
        <w:t>uridical Sciences, Associate Professor, Professor of Department of Forensic Support and Forensic Expertise of the National Academy of Internal Affairs, Kiev, Ukraine</w:t>
      </w:r>
    </w:p>
    <w:p w14:paraId="5E9ACBE3" w14:textId="77777777" w:rsidR="00AB2969" w:rsidRPr="00AB2969" w:rsidRDefault="00AB2969" w:rsidP="00AB2969">
      <w:pPr>
        <w:widowControl w:val="0"/>
        <w:shd w:val="clear" w:color="auto" w:fill="FFFFFF"/>
        <w:jc w:val="center"/>
        <w:rPr>
          <w:rFonts w:eastAsia="Calibri"/>
          <w:sz w:val="28"/>
          <w:szCs w:val="28"/>
          <w:lang w:val="en-US" w:eastAsia="en-US"/>
        </w:rPr>
      </w:pPr>
      <w:r w:rsidRPr="00AB2969">
        <w:rPr>
          <w:rFonts w:eastAsia="Calibri"/>
          <w:iCs/>
          <w:sz w:val="28"/>
          <w:szCs w:val="28"/>
          <w:lang w:val="en-US" w:eastAsia="en-US"/>
        </w:rPr>
        <w:t xml:space="preserve">ORCID ID 0000-0002-5242-2518 </w:t>
      </w:r>
      <w:r w:rsidRPr="00AB2969">
        <w:rPr>
          <w:rFonts w:eastAsia="Calibri"/>
          <w:iCs/>
          <w:sz w:val="28"/>
          <w:szCs w:val="28"/>
          <w:lang w:val="uk-UA" w:eastAsia="en-US"/>
        </w:rPr>
        <w:t xml:space="preserve">  </w:t>
      </w:r>
      <w:hyperlink r:id="rId8" w:history="1">
        <w:r w:rsidRPr="00AB2969">
          <w:rPr>
            <w:rFonts w:eastAsia="Calibri"/>
            <w:i/>
            <w:iCs/>
            <w:color w:val="0000FF"/>
            <w:sz w:val="28"/>
            <w:szCs w:val="28"/>
            <w:u w:val="single"/>
            <w:lang w:val="en-US" w:eastAsia="en-US"/>
          </w:rPr>
          <w:t>kofanov_andrey@ukr.net</w:t>
        </w:r>
      </w:hyperlink>
    </w:p>
    <w:p w14:paraId="2615365F" w14:textId="77777777" w:rsidR="00AB2969" w:rsidRDefault="00AB2969" w:rsidP="00AB2969">
      <w:pPr>
        <w:widowControl w:val="0"/>
        <w:shd w:val="clear" w:color="auto" w:fill="FFFFFF"/>
        <w:jc w:val="center"/>
        <w:rPr>
          <w:rFonts w:eastAsia="Calibri"/>
          <w:b/>
          <w:iCs/>
          <w:sz w:val="28"/>
          <w:szCs w:val="28"/>
          <w:lang w:val="uk-UA" w:eastAsia="en-US"/>
        </w:rPr>
      </w:pPr>
    </w:p>
    <w:p w14:paraId="5CB4D0B1" w14:textId="77777777" w:rsidR="00AB2969" w:rsidRPr="00AB2969" w:rsidRDefault="00AB2969" w:rsidP="00AB2969">
      <w:pPr>
        <w:widowControl w:val="0"/>
        <w:shd w:val="clear" w:color="auto" w:fill="FFFFFF"/>
        <w:jc w:val="center"/>
        <w:rPr>
          <w:rFonts w:eastAsia="Calibri"/>
          <w:b/>
          <w:iCs/>
          <w:sz w:val="28"/>
          <w:szCs w:val="28"/>
          <w:lang w:val="uk-UA" w:eastAsia="en-US"/>
        </w:rPr>
      </w:pPr>
      <w:r w:rsidRPr="00AB2969">
        <w:rPr>
          <w:rFonts w:eastAsia="Calibri"/>
          <w:b/>
          <w:iCs/>
          <w:sz w:val="28"/>
          <w:szCs w:val="28"/>
          <w:lang w:val="en-US" w:eastAsia="en-US"/>
        </w:rPr>
        <w:t>Svoboda</w:t>
      </w:r>
      <w:r w:rsidRPr="00AB2969">
        <w:rPr>
          <w:rFonts w:eastAsia="Calibri"/>
          <w:b/>
          <w:iCs/>
          <w:sz w:val="28"/>
          <w:szCs w:val="28"/>
          <w:lang w:val="uk-UA" w:eastAsia="en-US"/>
        </w:rPr>
        <w:t xml:space="preserve"> </w:t>
      </w:r>
      <w:proofErr w:type="spellStart"/>
      <w:r w:rsidRPr="00AB2969">
        <w:rPr>
          <w:rFonts w:eastAsia="Calibri"/>
          <w:b/>
          <w:iCs/>
          <w:sz w:val="28"/>
          <w:szCs w:val="28"/>
          <w:lang w:val="uk-UA" w:eastAsia="en-US"/>
        </w:rPr>
        <w:t>Eugenia</w:t>
      </w:r>
      <w:proofErr w:type="spellEnd"/>
    </w:p>
    <w:p w14:paraId="1FB707F8" w14:textId="77777777" w:rsidR="00AB2969" w:rsidRPr="00AB2969" w:rsidRDefault="00AB2969" w:rsidP="00AB2969">
      <w:pPr>
        <w:widowControl w:val="0"/>
        <w:shd w:val="clear" w:color="auto" w:fill="FFFFFF"/>
        <w:jc w:val="center"/>
        <w:rPr>
          <w:rFonts w:eastAsia="Calibri"/>
          <w:iCs/>
          <w:sz w:val="28"/>
          <w:szCs w:val="28"/>
          <w:lang w:val="en-US" w:eastAsia="en-US"/>
        </w:rPr>
      </w:pPr>
      <w:r w:rsidRPr="00AB2969">
        <w:rPr>
          <w:rFonts w:eastAsia="Calibri"/>
          <w:sz w:val="28"/>
          <w:szCs w:val="28"/>
          <w:lang w:val="en-US" w:eastAsia="en-US"/>
        </w:rPr>
        <w:t>PhD of</w:t>
      </w:r>
      <w:r w:rsidRPr="00AB2969">
        <w:rPr>
          <w:rFonts w:eastAsia="Calibri"/>
          <w:i/>
          <w:iCs/>
          <w:sz w:val="28"/>
          <w:szCs w:val="28"/>
          <w:lang w:val="en-US" w:eastAsia="en-US"/>
        </w:rPr>
        <w:t xml:space="preserve"> </w:t>
      </w:r>
      <w:r w:rsidRPr="00AB2969">
        <w:rPr>
          <w:rFonts w:eastAsia="Calibri"/>
          <w:iCs/>
          <w:sz w:val="28"/>
          <w:szCs w:val="28"/>
          <w:lang w:val="en-US" w:eastAsia="en-US"/>
        </w:rPr>
        <w:t>J</w:t>
      </w:r>
      <w:r w:rsidRPr="00AB2969">
        <w:rPr>
          <w:rFonts w:eastAsia="Calibri"/>
          <w:sz w:val="28"/>
          <w:szCs w:val="28"/>
          <w:lang w:val="en-US" w:eastAsia="en-US"/>
        </w:rPr>
        <w:t>uridical Sciences, Associate Professor, Professor of Department of Forensic Support and Forensic Expertise of the National Academy of Internal Affairs, Kiev, Ukraine</w:t>
      </w:r>
    </w:p>
    <w:p w14:paraId="4BB97DA0" w14:textId="77777777" w:rsidR="00AB2969" w:rsidRPr="00AB2969" w:rsidRDefault="00AB2969" w:rsidP="00AB2969">
      <w:pPr>
        <w:widowControl w:val="0"/>
        <w:shd w:val="clear" w:color="auto" w:fill="FFFFFF"/>
        <w:jc w:val="center"/>
        <w:rPr>
          <w:rFonts w:eastAsia="Calibri"/>
          <w:b/>
          <w:i/>
          <w:iCs/>
          <w:sz w:val="28"/>
          <w:szCs w:val="28"/>
          <w:lang w:val="uk-UA" w:eastAsia="en-US"/>
        </w:rPr>
      </w:pPr>
      <w:r w:rsidRPr="00AB2969">
        <w:rPr>
          <w:rFonts w:eastAsia="Calibri"/>
          <w:iCs/>
          <w:sz w:val="28"/>
          <w:szCs w:val="28"/>
          <w:lang w:val="en-US" w:eastAsia="en-US"/>
        </w:rPr>
        <w:t>ORCID ID</w:t>
      </w:r>
      <w:r w:rsidRPr="00AB2969">
        <w:rPr>
          <w:rFonts w:eastAsia="Calibri"/>
          <w:iCs/>
          <w:sz w:val="28"/>
          <w:szCs w:val="28"/>
          <w:lang w:val="uk-UA" w:eastAsia="en-US"/>
        </w:rPr>
        <w:t xml:space="preserve"> 0000-0002-8639-8333    </w:t>
      </w:r>
      <w:hyperlink r:id="rId9" w:history="1">
        <w:r w:rsidRPr="00AB2969">
          <w:rPr>
            <w:rFonts w:eastAsia="Calibri"/>
            <w:i/>
            <w:iCs/>
            <w:color w:val="0000FF"/>
            <w:sz w:val="28"/>
            <w:szCs w:val="28"/>
            <w:u w:val="single"/>
            <w:lang w:val="uk-UA" w:eastAsia="en-US"/>
          </w:rPr>
          <w:t>jeechka@ukr.net</w:t>
        </w:r>
      </w:hyperlink>
    </w:p>
    <w:p w14:paraId="26481DAC" w14:textId="77777777" w:rsidR="00AB2969" w:rsidRPr="00AB2969" w:rsidRDefault="00AB2969" w:rsidP="00AB2969">
      <w:pPr>
        <w:rPr>
          <w:lang w:val="en-US"/>
        </w:rPr>
      </w:pPr>
    </w:p>
    <w:p w14:paraId="70F9CC03" w14:textId="3B39C963" w:rsidR="002A04EC" w:rsidRPr="002A04EC" w:rsidRDefault="002A04EC" w:rsidP="002A04EC">
      <w:pPr>
        <w:autoSpaceDE w:val="0"/>
        <w:autoSpaceDN w:val="0"/>
        <w:adjustRightInd w:val="0"/>
        <w:jc w:val="center"/>
        <w:rPr>
          <w:b/>
          <w:bCs/>
          <w:color w:val="000000"/>
          <w:spacing w:val="-3"/>
          <w:sz w:val="28"/>
          <w:szCs w:val="28"/>
          <w:lang w:val="en-US"/>
        </w:rPr>
      </w:pPr>
      <w:proofErr w:type="spellStart"/>
      <w:r w:rsidRPr="002A04EC">
        <w:rPr>
          <w:b/>
          <w:bCs/>
          <w:color w:val="000000"/>
          <w:spacing w:val="-3"/>
          <w:sz w:val="28"/>
          <w:szCs w:val="28"/>
          <w:lang w:val="en-US"/>
        </w:rPr>
        <w:t>Mikhalchuk</w:t>
      </w:r>
      <w:proofErr w:type="spellEnd"/>
      <w:r w:rsidR="00D56CF8">
        <w:rPr>
          <w:b/>
          <w:bCs/>
          <w:color w:val="000000"/>
          <w:spacing w:val="-3"/>
          <w:sz w:val="28"/>
          <w:szCs w:val="28"/>
          <w:lang w:val="en-US"/>
        </w:rPr>
        <w:t xml:space="preserve"> </w:t>
      </w:r>
      <w:proofErr w:type="spellStart"/>
      <w:r w:rsidR="00D56CF8" w:rsidRPr="00D56CF8">
        <w:rPr>
          <w:b/>
          <w:bCs/>
          <w:color w:val="000000"/>
          <w:spacing w:val="-3"/>
          <w:sz w:val="28"/>
          <w:szCs w:val="28"/>
          <w:lang w:val="en-US"/>
        </w:rPr>
        <w:t>Tetiana</w:t>
      </w:r>
      <w:proofErr w:type="spellEnd"/>
    </w:p>
    <w:p w14:paraId="3A148733" w14:textId="77777777" w:rsidR="002A04EC" w:rsidRPr="002A04EC" w:rsidRDefault="002A04EC" w:rsidP="002A04EC">
      <w:pPr>
        <w:autoSpaceDE w:val="0"/>
        <w:autoSpaceDN w:val="0"/>
        <w:adjustRightInd w:val="0"/>
        <w:jc w:val="center"/>
        <w:rPr>
          <w:sz w:val="28"/>
          <w:szCs w:val="28"/>
          <w:lang w:val="en-US" w:eastAsia="uk-UA"/>
        </w:rPr>
      </w:pPr>
      <w:r w:rsidRPr="002A04EC">
        <w:rPr>
          <w:sz w:val="28"/>
          <w:szCs w:val="28"/>
          <w:lang w:val="en-US" w:eastAsia="uk-UA"/>
        </w:rPr>
        <w:t>PhD of Juridical Sciences,</w:t>
      </w:r>
      <w:r w:rsidRPr="002A04EC">
        <w:rPr>
          <w:sz w:val="20"/>
          <w:szCs w:val="20"/>
          <w:lang w:val="en-US"/>
        </w:rPr>
        <w:t xml:space="preserve"> </w:t>
      </w:r>
      <w:r w:rsidRPr="002A04EC">
        <w:rPr>
          <w:sz w:val="28"/>
          <w:szCs w:val="28"/>
          <w:lang w:val="en-US" w:eastAsia="uk-UA"/>
        </w:rPr>
        <w:t>Senior Teacher of Forensic Support and Forensic Expertise of the National Academy of Internal Affairs, Kyiv, Ukraine</w:t>
      </w:r>
    </w:p>
    <w:p w14:paraId="40938FF6" w14:textId="77777777" w:rsidR="002A04EC" w:rsidRPr="002A04EC" w:rsidRDefault="002A04EC" w:rsidP="002A04EC">
      <w:pPr>
        <w:autoSpaceDE w:val="0"/>
        <w:autoSpaceDN w:val="0"/>
        <w:adjustRightInd w:val="0"/>
        <w:jc w:val="center"/>
        <w:rPr>
          <w:i/>
          <w:sz w:val="28"/>
          <w:szCs w:val="28"/>
          <w:lang w:val="en-US" w:eastAsia="uk-UA"/>
        </w:rPr>
      </w:pPr>
      <w:r w:rsidRPr="002A04EC">
        <w:rPr>
          <w:sz w:val="28"/>
          <w:szCs w:val="28"/>
          <w:lang w:val="en-US" w:eastAsia="uk-UA"/>
        </w:rPr>
        <w:t>ORCID ID 0000-0002-3063-</w:t>
      </w:r>
      <w:proofErr w:type="gramStart"/>
      <w:r w:rsidRPr="002A04EC">
        <w:rPr>
          <w:sz w:val="28"/>
          <w:szCs w:val="28"/>
          <w:lang w:val="en-US" w:eastAsia="uk-UA"/>
        </w:rPr>
        <w:t xml:space="preserve">902X  </w:t>
      </w:r>
      <w:proofErr w:type="gramEnd"/>
      <w:r w:rsidRPr="002A04EC">
        <w:rPr>
          <w:i/>
          <w:sz w:val="28"/>
          <w:szCs w:val="28"/>
          <w:lang w:val="en-US" w:eastAsia="uk-UA"/>
        </w:rPr>
        <w:fldChar w:fldCharType="begin"/>
      </w:r>
      <w:r w:rsidRPr="002A04EC">
        <w:rPr>
          <w:i/>
          <w:sz w:val="28"/>
          <w:szCs w:val="28"/>
          <w:lang w:val="en-US" w:eastAsia="uk-UA"/>
        </w:rPr>
        <w:instrText xml:space="preserve"> HYPERLINK "mailto:mixalchuk@ukr.net" </w:instrText>
      </w:r>
      <w:r w:rsidRPr="002A04EC">
        <w:rPr>
          <w:i/>
          <w:sz w:val="28"/>
          <w:szCs w:val="28"/>
          <w:lang w:val="en-US" w:eastAsia="uk-UA"/>
        </w:rPr>
        <w:fldChar w:fldCharType="separate"/>
      </w:r>
      <w:r w:rsidRPr="002A04EC">
        <w:rPr>
          <w:i/>
          <w:color w:val="0000FF"/>
          <w:sz w:val="28"/>
          <w:szCs w:val="28"/>
          <w:u w:val="single"/>
          <w:lang w:val="en-US" w:eastAsia="uk-UA"/>
        </w:rPr>
        <w:t>mixalchuk@ukr.net</w:t>
      </w:r>
      <w:r w:rsidRPr="002A04EC">
        <w:rPr>
          <w:i/>
          <w:sz w:val="28"/>
          <w:szCs w:val="28"/>
          <w:lang w:val="en-US" w:eastAsia="uk-UA"/>
        </w:rPr>
        <w:fldChar w:fldCharType="end"/>
      </w:r>
    </w:p>
    <w:p w14:paraId="141F8742" w14:textId="77777777" w:rsidR="00265ABF" w:rsidRDefault="00265ABF" w:rsidP="00265ABF">
      <w:pPr>
        <w:widowControl w:val="0"/>
        <w:shd w:val="clear" w:color="auto" w:fill="FFFFFF"/>
        <w:autoSpaceDE w:val="0"/>
        <w:autoSpaceDN w:val="0"/>
        <w:adjustRightInd w:val="0"/>
        <w:jc w:val="center"/>
        <w:rPr>
          <w:b/>
          <w:bCs/>
          <w:color w:val="000000"/>
          <w:spacing w:val="-3"/>
          <w:sz w:val="28"/>
          <w:szCs w:val="28"/>
          <w:lang w:val="en-US"/>
        </w:rPr>
      </w:pPr>
    </w:p>
    <w:p w14:paraId="1A0C8F22" w14:textId="79B3019F" w:rsidR="00265ABF" w:rsidRPr="00265ABF" w:rsidRDefault="00265ABF" w:rsidP="00265ABF">
      <w:pPr>
        <w:widowControl w:val="0"/>
        <w:shd w:val="clear" w:color="auto" w:fill="FFFFFF"/>
        <w:autoSpaceDE w:val="0"/>
        <w:autoSpaceDN w:val="0"/>
        <w:adjustRightInd w:val="0"/>
        <w:jc w:val="center"/>
        <w:rPr>
          <w:b/>
          <w:bCs/>
          <w:color w:val="000000"/>
          <w:spacing w:val="-3"/>
          <w:sz w:val="28"/>
          <w:szCs w:val="28"/>
          <w:lang w:val="en-US"/>
        </w:rPr>
      </w:pPr>
      <w:proofErr w:type="spellStart"/>
      <w:r w:rsidRPr="00265ABF">
        <w:rPr>
          <w:b/>
          <w:bCs/>
          <w:color w:val="000000"/>
          <w:spacing w:val="-3"/>
          <w:sz w:val="28"/>
          <w:szCs w:val="28"/>
          <w:lang w:val="en-US"/>
        </w:rPr>
        <w:t>Morhun</w:t>
      </w:r>
      <w:proofErr w:type="spellEnd"/>
      <w:r w:rsidR="00D56CF8">
        <w:rPr>
          <w:b/>
          <w:bCs/>
          <w:color w:val="000000"/>
          <w:spacing w:val="-3"/>
          <w:sz w:val="28"/>
          <w:szCs w:val="28"/>
          <w:lang w:val="en-US"/>
        </w:rPr>
        <w:t xml:space="preserve"> </w:t>
      </w:r>
      <w:proofErr w:type="spellStart"/>
      <w:r w:rsidR="00D56CF8" w:rsidRPr="00D56CF8">
        <w:rPr>
          <w:b/>
          <w:bCs/>
          <w:color w:val="000000"/>
          <w:spacing w:val="-3"/>
          <w:sz w:val="28"/>
          <w:szCs w:val="28"/>
          <w:lang w:val="en-US"/>
        </w:rPr>
        <w:t>Nadiia</w:t>
      </w:r>
      <w:proofErr w:type="spellEnd"/>
    </w:p>
    <w:p w14:paraId="03B828B4" w14:textId="349C4897" w:rsidR="00265ABF" w:rsidRPr="00265ABF" w:rsidRDefault="00265ABF" w:rsidP="00265ABF">
      <w:pPr>
        <w:widowControl w:val="0"/>
        <w:shd w:val="clear" w:color="auto" w:fill="FFFFFF"/>
        <w:autoSpaceDE w:val="0"/>
        <w:autoSpaceDN w:val="0"/>
        <w:adjustRightInd w:val="0"/>
        <w:jc w:val="center"/>
        <w:rPr>
          <w:sz w:val="28"/>
          <w:szCs w:val="28"/>
          <w:lang w:val="en-US" w:eastAsia="uk-UA"/>
        </w:rPr>
      </w:pPr>
      <w:r w:rsidRPr="00265ABF">
        <w:rPr>
          <w:sz w:val="28"/>
          <w:szCs w:val="28"/>
          <w:lang w:val="en-US"/>
        </w:rPr>
        <w:t xml:space="preserve">PhD of Juridical Sciences, Deputy Director of Educational and Research Institute №1 for educational, scientific and research works, </w:t>
      </w:r>
      <w:r w:rsidRPr="00265ABF">
        <w:rPr>
          <w:sz w:val="28"/>
          <w:szCs w:val="28"/>
          <w:lang w:val="en-US" w:eastAsia="uk-UA"/>
        </w:rPr>
        <w:t>National Academy of Internal Affairs, Kyiv, Ukraine</w:t>
      </w:r>
    </w:p>
    <w:p w14:paraId="4AFE2D60" w14:textId="77777777" w:rsidR="00265ABF" w:rsidRPr="00265ABF" w:rsidRDefault="00265ABF" w:rsidP="00265ABF">
      <w:pPr>
        <w:widowControl w:val="0"/>
        <w:shd w:val="clear" w:color="auto" w:fill="FFFFFF"/>
        <w:autoSpaceDE w:val="0"/>
        <w:autoSpaceDN w:val="0"/>
        <w:adjustRightInd w:val="0"/>
        <w:jc w:val="center"/>
        <w:rPr>
          <w:bCs/>
          <w:color w:val="000000"/>
          <w:spacing w:val="-3"/>
          <w:sz w:val="28"/>
          <w:szCs w:val="28"/>
          <w:lang w:val="en-US"/>
        </w:rPr>
      </w:pPr>
      <w:r w:rsidRPr="00265ABF">
        <w:rPr>
          <w:sz w:val="28"/>
          <w:szCs w:val="28"/>
          <w:lang w:val="en-US"/>
        </w:rPr>
        <w:t xml:space="preserve">ORCID ID 0000-0002-2997-9975 </w:t>
      </w:r>
      <w:hyperlink r:id="rId10" w:history="1">
        <w:r w:rsidRPr="00265ABF">
          <w:rPr>
            <w:bCs/>
            <w:i/>
            <w:color w:val="0000FF"/>
            <w:spacing w:val="-3"/>
            <w:sz w:val="28"/>
            <w:szCs w:val="28"/>
            <w:u w:val="single"/>
            <w:lang w:val="en-US"/>
          </w:rPr>
          <w:t>protektra@i.ua</w:t>
        </w:r>
      </w:hyperlink>
    </w:p>
    <w:p w14:paraId="37A71F49" w14:textId="77777777" w:rsidR="00AB2969" w:rsidRPr="00840876" w:rsidRDefault="00AB2969" w:rsidP="00AB2969">
      <w:pPr>
        <w:rPr>
          <w:lang w:val="en-US"/>
        </w:rPr>
      </w:pPr>
    </w:p>
    <w:p w14:paraId="302BEBAA" w14:textId="7F130248" w:rsidR="006B4B37" w:rsidRDefault="0028077A" w:rsidP="0028077A">
      <w:pPr>
        <w:jc w:val="center"/>
        <w:rPr>
          <w:b/>
          <w:sz w:val="28"/>
          <w:szCs w:val="28"/>
          <w:lang w:val="en-US"/>
        </w:rPr>
      </w:pPr>
      <w:proofErr w:type="spellStart"/>
      <w:r w:rsidRPr="0028077A">
        <w:rPr>
          <w:b/>
          <w:sz w:val="28"/>
          <w:szCs w:val="28"/>
          <w:lang w:val="en-US"/>
        </w:rPr>
        <w:t>Symchuk</w:t>
      </w:r>
      <w:proofErr w:type="spellEnd"/>
      <w:r w:rsidRPr="0028077A">
        <w:rPr>
          <w:b/>
          <w:sz w:val="28"/>
          <w:szCs w:val="28"/>
          <w:lang w:val="en-US"/>
        </w:rPr>
        <w:t xml:space="preserve"> </w:t>
      </w:r>
      <w:proofErr w:type="spellStart"/>
      <w:r w:rsidRPr="0028077A">
        <w:rPr>
          <w:b/>
          <w:sz w:val="28"/>
          <w:szCs w:val="28"/>
          <w:lang w:val="en-US"/>
        </w:rPr>
        <w:t>Anatolii</w:t>
      </w:r>
      <w:proofErr w:type="spellEnd"/>
    </w:p>
    <w:p w14:paraId="470887F5" w14:textId="77777777" w:rsidR="004D4293" w:rsidRPr="004D4293" w:rsidRDefault="0028077A" w:rsidP="004D4293">
      <w:pPr>
        <w:jc w:val="center"/>
        <w:rPr>
          <w:rFonts w:eastAsia="Calibri"/>
          <w:iCs/>
          <w:sz w:val="28"/>
          <w:szCs w:val="28"/>
          <w:lang w:val="uk-UA" w:eastAsia="en-US"/>
        </w:rPr>
      </w:pPr>
      <w:r w:rsidRPr="002A04EC">
        <w:rPr>
          <w:sz w:val="28"/>
          <w:szCs w:val="28"/>
          <w:lang w:val="en-US" w:eastAsia="uk-UA"/>
        </w:rPr>
        <w:t>Senior Teacher of</w:t>
      </w:r>
      <w:r>
        <w:rPr>
          <w:sz w:val="28"/>
          <w:szCs w:val="28"/>
          <w:lang w:val="en-US" w:eastAsia="uk-UA"/>
        </w:rPr>
        <w:t xml:space="preserve"> </w:t>
      </w:r>
      <w:r w:rsidR="006D4E98" w:rsidRPr="006D4E98">
        <w:rPr>
          <w:rFonts w:eastAsia="Calibri"/>
          <w:iCs/>
          <w:sz w:val="28"/>
          <w:szCs w:val="28"/>
          <w:lang w:val="en-US" w:eastAsia="en-US"/>
        </w:rPr>
        <w:t>Forensic Support and Forensic Expertise of the National Academy of Internal Affairs, Kiev, Ukraine</w:t>
      </w:r>
      <w:r w:rsidR="006D4E98" w:rsidRPr="006D4E98">
        <w:rPr>
          <w:rFonts w:eastAsia="Calibri"/>
          <w:iCs/>
          <w:sz w:val="28"/>
          <w:szCs w:val="28"/>
          <w:lang w:val="en-US" w:eastAsia="en-US"/>
        </w:rPr>
        <w:cr/>
        <w:t>ORCID ID</w:t>
      </w:r>
      <w:r w:rsidR="006D4E98">
        <w:rPr>
          <w:rFonts w:eastAsia="Calibri"/>
          <w:iCs/>
          <w:sz w:val="28"/>
          <w:szCs w:val="28"/>
          <w:lang w:val="en-US" w:eastAsia="en-US"/>
        </w:rPr>
        <w:t xml:space="preserve"> 0000-0002-8663-8210 </w:t>
      </w:r>
      <w:hyperlink r:id="rId11" w:history="1">
        <w:r w:rsidR="004D4293" w:rsidRPr="004D4293">
          <w:rPr>
            <w:rStyle w:val="a9"/>
            <w:rFonts w:eastAsia="Calibri"/>
            <w:i/>
            <w:iCs/>
            <w:sz w:val="28"/>
            <w:szCs w:val="28"/>
            <w:lang w:val="uk-UA" w:eastAsia="en-US"/>
          </w:rPr>
          <w:t>symchukas@gmail.com</w:t>
        </w:r>
      </w:hyperlink>
    </w:p>
    <w:p w14:paraId="3E418930" w14:textId="41CA44B1" w:rsidR="0028077A" w:rsidRPr="004D4293" w:rsidRDefault="0028077A" w:rsidP="0028077A">
      <w:pPr>
        <w:jc w:val="center"/>
        <w:rPr>
          <w:b/>
          <w:sz w:val="28"/>
          <w:szCs w:val="28"/>
          <w:lang w:val="uk-UA"/>
        </w:rPr>
      </w:pPr>
    </w:p>
    <w:p w14:paraId="74276449" w14:textId="77777777" w:rsidR="00840876" w:rsidRPr="003579C4" w:rsidRDefault="00840876" w:rsidP="00AB2969"/>
    <w:p w14:paraId="263F3763" w14:textId="77777777" w:rsidR="00840876" w:rsidRDefault="00840876" w:rsidP="00AB2969">
      <w:pPr>
        <w:rPr>
          <w:lang w:val="uk-UA"/>
        </w:rPr>
      </w:pPr>
    </w:p>
    <w:p w14:paraId="41C7F0AA" w14:textId="77777777" w:rsidR="00030CDD" w:rsidRPr="00030CDD" w:rsidRDefault="00030CDD" w:rsidP="00030CDD">
      <w:pPr>
        <w:spacing w:line="360" w:lineRule="auto"/>
        <w:ind w:firstLine="709"/>
        <w:jc w:val="center"/>
        <w:rPr>
          <w:rFonts w:eastAsia="Calibri"/>
          <w:b/>
          <w:i/>
          <w:lang w:val="en-US" w:eastAsia="en-US"/>
        </w:rPr>
      </w:pPr>
      <w:r w:rsidRPr="00030CDD">
        <w:rPr>
          <w:rFonts w:eastAsia="Calibri"/>
          <w:b/>
          <w:i/>
          <w:lang w:val="en-US" w:eastAsia="en-US"/>
        </w:rPr>
        <w:t>Abstract</w:t>
      </w:r>
    </w:p>
    <w:p w14:paraId="387C1CAB" w14:textId="77777777" w:rsidR="00776987" w:rsidRPr="00840876" w:rsidRDefault="006A2515" w:rsidP="006A2515">
      <w:pPr>
        <w:pStyle w:val="3"/>
        <w:spacing w:line="360" w:lineRule="auto"/>
        <w:ind w:right="0" w:firstLine="709"/>
        <w:rPr>
          <w:lang w:val="en-US"/>
        </w:rPr>
      </w:pPr>
      <w:r w:rsidRPr="00776987">
        <w:rPr>
          <w:sz w:val="20"/>
          <w:lang w:val="en-GB"/>
        </w:rPr>
        <w:t>The concept of quality may be regarded as a composite structure comprising the support for the following elements: legal, scientific and technological, methodological, organisational, logistical. The quality of expert investigation is not an abstract concept; it actually exists and has a certain content that expresses substantial certainty, since it results in an expert opinion — judicial evidence. An expert opinion has a procedural (legal)</w:t>
      </w:r>
      <w:r w:rsidR="00440078" w:rsidRPr="00776987">
        <w:rPr>
          <w:sz w:val="20"/>
          <w:lang w:val="en-GB"/>
        </w:rPr>
        <w:t>,</w:t>
      </w:r>
      <w:r w:rsidRPr="00776987">
        <w:rPr>
          <w:sz w:val="20"/>
          <w:lang w:val="en-GB"/>
        </w:rPr>
        <w:t xml:space="preserve"> scientific and technological aspects. The ‘quality of forensic examination’ concept therefore has a procedural (legal)</w:t>
      </w:r>
      <w:r w:rsidR="00440078" w:rsidRPr="00776987">
        <w:rPr>
          <w:sz w:val="20"/>
          <w:lang w:val="en-GB"/>
        </w:rPr>
        <w:t>,</w:t>
      </w:r>
      <w:r w:rsidRPr="00776987">
        <w:rPr>
          <w:sz w:val="20"/>
          <w:lang w:val="en-GB"/>
        </w:rPr>
        <w:t xml:space="preserve"> scientific and technological content.</w:t>
      </w:r>
      <w:r w:rsidRPr="00E67EC5">
        <w:rPr>
          <w:lang w:val="en-GB"/>
        </w:rPr>
        <w:t xml:space="preserve"> </w:t>
      </w:r>
    </w:p>
    <w:p w14:paraId="5397E902" w14:textId="77777777" w:rsidR="00345C5C" w:rsidRPr="00345C5C" w:rsidRDefault="00DB70B7" w:rsidP="00345C5C">
      <w:pPr>
        <w:pStyle w:val="3"/>
        <w:spacing w:line="360" w:lineRule="auto"/>
        <w:ind w:firstLine="709"/>
        <w:rPr>
          <w:spacing w:val="2"/>
          <w:sz w:val="20"/>
          <w:lang w:val="en-US"/>
        </w:rPr>
      </w:pPr>
      <w:r w:rsidRPr="00DB70B7">
        <w:rPr>
          <w:b/>
          <w:snapToGrid/>
          <w:spacing w:val="2"/>
          <w:sz w:val="20"/>
          <w:lang w:val="en-US"/>
        </w:rPr>
        <w:t>Key words:</w:t>
      </w:r>
      <w:r w:rsidRPr="00345C5C">
        <w:rPr>
          <w:b/>
          <w:snapToGrid/>
          <w:spacing w:val="2"/>
          <w:sz w:val="20"/>
          <w:lang w:val="en-US"/>
        </w:rPr>
        <w:t xml:space="preserve"> </w:t>
      </w:r>
      <w:r w:rsidR="00345C5C" w:rsidRPr="00345C5C">
        <w:rPr>
          <w:spacing w:val="2"/>
          <w:sz w:val="20"/>
          <w:lang w:val="en-US"/>
        </w:rPr>
        <w:t xml:space="preserve">legal protection of the forensic expert, physical protection of the forensic expert, quality </w:t>
      </w:r>
      <w:r w:rsidR="00345C5C" w:rsidRPr="00345C5C">
        <w:rPr>
          <w:spacing w:val="2"/>
          <w:sz w:val="20"/>
          <w:lang w:val="en-US"/>
        </w:rPr>
        <w:lastRenderedPageBreak/>
        <w:t>of expert opinion, court proceedings, forensic expert regulation</w:t>
      </w:r>
    </w:p>
    <w:p w14:paraId="7C250111" w14:textId="1D8B06D5" w:rsidR="00776987" w:rsidRPr="00345C5C" w:rsidRDefault="00776987" w:rsidP="006A2515">
      <w:pPr>
        <w:pStyle w:val="3"/>
        <w:spacing w:line="360" w:lineRule="auto"/>
        <w:ind w:right="0" w:firstLine="709"/>
        <w:rPr>
          <w:b/>
        </w:rPr>
      </w:pPr>
    </w:p>
    <w:p w14:paraId="3F995ED3" w14:textId="3E9099C0" w:rsidR="006A2515" w:rsidRPr="00E67EC5" w:rsidRDefault="00776987" w:rsidP="006A2515">
      <w:pPr>
        <w:pStyle w:val="3"/>
        <w:spacing w:line="360" w:lineRule="auto"/>
        <w:ind w:right="0" w:firstLine="709"/>
        <w:rPr>
          <w:snapToGrid/>
          <w:lang w:val="en-GB"/>
        </w:rPr>
      </w:pPr>
      <w:r w:rsidRPr="00776987">
        <w:rPr>
          <w:b/>
          <w:lang w:val="en-US"/>
        </w:rPr>
        <w:t>Introduction</w:t>
      </w:r>
      <w:r w:rsidRPr="00776987">
        <w:rPr>
          <w:lang w:val="en-GB"/>
        </w:rPr>
        <w:t xml:space="preserve"> </w:t>
      </w:r>
      <w:r w:rsidR="006A2515" w:rsidRPr="00E67EC5">
        <w:rPr>
          <w:lang w:val="en-GB"/>
        </w:rPr>
        <w:t>Thus, the very concept of ‘quality of forensic examination’ is composite and requires a comprehensive, systematic approach to its study [1, pp. 33–36</w:t>
      </w:r>
      <w:r w:rsidR="00553931" w:rsidRPr="00553931">
        <w:rPr>
          <w:lang w:val="en-US"/>
        </w:rPr>
        <w:t>; 10</w:t>
      </w:r>
      <w:r w:rsidR="006A2515" w:rsidRPr="00E67EC5">
        <w:rPr>
          <w:lang w:val="en-GB"/>
        </w:rPr>
        <w:t>].</w:t>
      </w:r>
    </w:p>
    <w:p w14:paraId="79D7A24F" w14:textId="2B19529B" w:rsidR="006A2515" w:rsidRPr="00E67EC5" w:rsidRDefault="006A2515" w:rsidP="006A2515">
      <w:pPr>
        <w:pStyle w:val="a6"/>
        <w:spacing w:line="360" w:lineRule="auto"/>
        <w:ind w:right="0"/>
        <w:rPr>
          <w:lang w:val="en-GB"/>
        </w:rPr>
      </w:pPr>
      <w:r w:rsidRPr="00E67EC5">
        <w:rPr>
          <w:snapToGrid/>
          <w:lang w:val="en-GB"/>
        </w:rPr>
        <w:t>The concept of ‘quality’ is closely related to that of ‘efficiency’. It is generally remarked that an expert investigation should be complete, comprehensive, objective, etc., whereas an expert opinion should be complete, clear, consistent, coherent, informed, etc. Therefore, examining the efficiency of expert investigation and measures to improve it involves a simultaneous analysis of factors that raise the investigation quality and level, as well as reliability and validity of expert’s findings.</w:t>
      </w:r>
    </w:p>
    <w:p w14:paraId="1B561993" w14:textId="4C6729E0" w:rsidR="00A9682A" w:rsidRPr="00E67EC5" w:rsidRDefault="006A2515" w:rsidP="006A2515">
      <w:pPr>
        <w:pStyle w:val="a6"/>
        <w:widowControl/>
        <w:tabs>
          <w:tab w:val="clear" w:pos="720"/>
        </w:tabs>
        <w:spacing w:line="360" w:lineRule="auto"/>
        <w:ind w:right="0"/>
        <w:rPr>
          <w:snapToGrid/>
          <w:lang w:val="en-GB"/>
        </w:rPr>
      </w:pPr>
      <w:r w:rsidRPr="00E67EC5">
        <w:rPr>
          <w:snapToGrid/>
          <w:lang w:val="en-GB"/>
        </w:rPr>
        <w:t>In the legal literature, less attention is given to the concept of ‘quality’. For example, I. P. </w:t>
      </w:r>
      <w:proofErr w:type="spellStart"/>
      <w:r w:rsidRPr="00E67EC5">
        <w:rPr>
          <w:snapToGrid/>
          <w:lang w:val="en-GB"/>
        </w:rPr>
        <w:t>Kononenko</w:t>
      </w:r>
      <w:proofErr w:type="spellEnd"/>
      <w:r w:rsidRPr="00E67EC5">
        <w:rPr>
          <w:snapToGrid/>
          <w:lang w:val="en-GB"/>
        </w:rPr>
        <w:t xml:space="preserve"> defines the quality of a forensic expert opinion as ‘a totality of legal, scientific and technological properties, which comply with the law and other regulations governing the conduct of forensic examination, and of instructional research rules applicable to a forensic expert opinion as judicial evidence’ [2, pp. 31–40</w:t>
      </w:r>
      <w:r w:rsidR="00553931" w:rsidRPr="00553931">
        <w:rPr>
          <w:snapToGrid/>
          <w:lang w:val="en-US"/>
        </w:rPr>
        <w:t>; 11</w:t>
      </w:r>
      <w:r w:rsidRPr="00E67EC5">
        <w:rPr>
          <w:snapToGrid/>
          <w:lang w:val="en-GB"/>
        </w:rPr>
        <w:t>]. This definition is not objectionable on the whole. It makes it evident that quality describes outputs of a (forensic examination) system operation at its individual stages, i.e. a ‘finished product’, whereas efficiency describes the entire system, showing how this system functions in accordance with the tasks and objectives it was intended to address upon its creation. Some of these tasks are focused on delivering a product of a certain quality (such as giving an informed opinion); others refer to a procedure for the operation or to the process itself (such as timeliness of forensic examination). However, both are intended to deliver a certain result that reflects the degree of system efficiency.</w:t>
      </w:r>
    </w:p>
    <w:p w14:paraId="5E2C1C4D" w14:textId="45063CC5" w:rsidR="006A2515" w:rsidRPr="00E67EC5" w:rsidRDefault="006A2515" w:rsidP="006A2515">
      <w:pPr>
        <w:pStyle w:val="a6"/>
        <w:widowControl/>
        <w:tabs>
          <w:tab w:val="clear" w:pos="720"/>
        </w:tabs>
        <w:spacing w:line="360" w:lineRule="auto"/>
        <w:ind w:right="0"/>
        <w:rPr>
          <w:snapToGrid/>
          <w:vertAlign w:val="subscript"/>
          <w:lang w:val="en-GB"/>
        </w:rPr>
      </w:pPr>
      <w:r w:rsidRPr="00E67EC5">
        <w:rPr>
          <w:snapToGrid/>
          <w:lang w:val="en-GB"/>
        </w:rPr>
        <w:t>It seems reasonable to conclude that efficiency is a broader category than quality and encompasses the latter.</w:t>
      </w:r>
    </w:p>
    <w:p w14:paraId="4FA9F78D" w14:textId="77777777" w:rsidR="00A9682A" w:rsidRPr="00E67EC5" w:rsidRDefault="006A2515" w:rsidP="006A2515">
      <w:pPr>
        <w:pStyle w:val="a6"/>
        <w:spacing w:line="360" w:lineRule="auto"/>
        <w:ind w:right="0"/>
        <w:rPr>
          <w:lang w:val="en-GB"/>
        </w:rPr>
      </w:pPr>
      <w:r w:rsidRPr="00E67EC5">
        <w:rPr>
          <w:lang w:val="en-GB"/>
        </w:rPr>
        <w:t>Quality indicators of expert investigation are closely related to efficiency indicators of expert investigation.</w:t>
      </w:r>
    </w:p>
    <w:p w14:paraId="549C5CC8" w14:textId="77777777" w:rsidR="00A9682A" w:rsidRPr="00E67EC5" w:rsidRDefault="006A2515" w:rsidP="006A2515">
      <w:pPr>
        <w:pStyle w:val="a6"/>
        <w:spacing w:line="360" w:lineRule="auto"/>
        <w:ind w:right="0"/>
        <w:rPr>
          <w:lang w:val="en-GB"/>
        </w:rPr>
      </w:pPr>
      <w:r w:rsidRPr="00E67EC5">
        <w:rPr>
          <w:lang w:val="en-GB"/>
        </w:rPr>
        <w:t>Quantity indicators of efficiency ‘quality’ in an expert’s activities include:</w:t>
      </w:r>
    </w:p>
    <w:p w14:paraId="29ADDC16" w14:textId="468AC45F" w:rsidR="006A2515" w:rsidRPr="00E67EC5" w:rsidRDefault="006A2515" w:rsidP="006A2515">
      <w:pPr>
        <w:pStyle w:val="a6"/>
        <w:spacing w:line="360" w:lineRule="auto"/>
        <w:ind w:right="0"/>
        <w:rPr>
          <w:lang w:val="en-GB"/>
        </w:rPr>
      </w:pPr>
      <w:r w:rsidRPr="00E67EC5">
        <w:rPr>
          <w:lang w:val="en-GB"/>
        </w:rPr>
        <w:lastRenderedPageBreak/>
        <w:t>1. Indicator of achieved objective of establishing evidence. It represents the ratio between the number of questions posed and resolved. Those questions are regarded as resolved to which answers have been given in a categorical (positive or negative) form, since such answers always contain actual data of evidentiary value. Resolved questions should also include those the answers to which have been given in conditionally categorical, alternative or probabilistic forms, since conclusions containing such findings may be used to develop investigative leads. Only those questions should be regarded as unresolved the answers to which contain the wording ‘resolving this question was not possible.’</w:t>
      </w:r>
    </w:p>
    <w:p w14:paraId="0DE101F3" w14:textId="77777777" w:rsidR="006A2515" w:rsidRPr="00E67EC5" w:rsidRDefault="006A2515" w:rsidP="006A2515">
      <w:pPr>
        <w:pStyle w:val="a6"/>
        <w:spacing w:line="360" w:lineRule="auto"/>
        <w:ind w:right="0"/>
        <w:rPr>
          <w:lang w:val="en-GB"/>
        </w:rPr>
      </w:pPr>
      <w:r w:rsidRPr="00E67EC5">
        <w:rPr>
          <w:lang w:val="en-GB"/>
        </w:rPr>
        <w:t>2. Number of forensic errors made by an expert. This indicator is derived by comparing findings of initial and repeat examinations, forensic examinations and case files of concluded proceedings (in which a final verdict or judgement has been passed), as well as by reviewing the supervised proceedings, and by monitoring outgoing expert opinions arranged at an expert institution. Here, high quality implies minimising expert’s errors or their complete elimination.</w:t>
      </w:r>
    </w:p>
    <w:p w14:paraId="0C148579" w14:textId="77777777" w:rsidR="006A2515" w:rsidRPr="00E67EC5" w:rsidRDefault="006A2515" w:rsidP="006A2515">
      <w:pPr>
        <w:pStyle w:val="a6"/>
        <w:spacing w:line="360" w:lineRule="auto"/>
        <w:ind w:right="0"/>
        <w:rPr>
          <w:lang w:val="en-GB"/>
        </w:rPr>
      </w:pPr>
      <w:r w:rsidRPr="00E67EC5">
        <w:rPr>
          <w:lang w:val="en-GB"/>
        </w:rPr>
        <w:t>3. Observance of deadlines. An indicator of this criterion is the number of questions that have been resolved in the time spent on the examination over the deadline established by departmental instructions. Here, the extent and quality of examination may be determined by the ratio between the number of questions resolved before the deadline and all questions put to an expert.</w:t>
      </w:r>
    </w:p>
    <w:p w14:paraId="5A3F20A4" w14:textId="77777777" w:rsidR="00A9682A" w:rsidRPr="00E67EC5" w:rsidRDefault="006A2515" w:rsidP="006A2515">
      <w:pPr>
        <w:pStyle w:val="a6"/>
        <w:spacing w:line="360" w:lineRule="auto"/>
        <w:ind w:right="0"/>
        <w:rPr>
          <w:lang w:val="en-GB"/>
        </w:rPr>
      </w:pPr>
      <w:r w:rsidRPr="00E67EC5">
        <w:rPr>
          <w:lang w:val="en-GB"/>
        </w:rPr>
        <w:t>4. Indicator of law observance in the conduct of examinations. It includes the number of questions resolved without violating examination procedural rules.</w:t>
      </w:r>
    </w:p>
    <w:p w14:paraId="64DD91C6" w14:textId="0DA0508E" w:rsidR="006A2515" w:rsidRPr="00E67EC5" w:rsidRDefault="006A2515" w:rsidP="006A2515">
      <w:pPr>
        <w:pStyle w:val="a6"/>
        <w:spacing w:line="360" w:lineRule="auto"/>
        <w:ind w:right="0"/>
        <w:rPr>
          <w:lang w:val="en-GB"/>
        </w:rPr>
      </w:pPr>
      <w:r w:rsidRPr="00E67EC5">
        <w:rPr>
          <w:lang w:val="en-GB"/>
        </w:rPr>
        <w:t>5. Completeness and clarity of opinion. This goal is achieved when no unanswered questions or unexplored items have been left after examination; no unsupported statements or unclear answers, offering different interpretations and thus preventing their use by an investigator or court, are included in the opinion. An indicator here may be the ratio between fully and clearly stated findings and all findings made.</w:t>
      </w:r>
    </w:p>
    <w:p w14:paraId="5CA62CF2" w14:textId="2CBE4906" w:rsidR="00A9682A" w:rsidRPr="00E67EC5" w:rsidRDefault="006A2515" w:rsidP="006A2515">
      <w:pPr>
        <w:pStyle w:val="a6"/>
        <w:spacing w:line="360" w:lineRule="auto"/>
        <w:ind w:right="0"/>
        <w:rPr>
          <w:lang w:val="en-GB"/>
        </w:rPr>
      </w:pPr>
      <w:r w:rsidRPr="00E67EC5">
        <w:rPr>
          <w:lang w:val="en-GB"/>
        </w:rPr>
        <w:t xml:space="preserve">Quality criteria and indicators of an expert investigation when addressing the tasks put before an expert from the viewpoint of end results of a forensic </w:t>
      </w:r>
      <w:r w:rsidRPr="00E67EC5">
        <w:rPr>
          <w:lang w:val="en-GB"/>
        </w:rPr>
        <w:lastRenderedPageBreak/>
        <w:t>examination, and their relation to the criteria of a forensic examination as a whole were examined above [3, p. 25–30</w:t>
      </w:r>
      <w:r w:rsidR="00553931" w:rsidRPr="00553931">
        <w:rPr>
          <w:lang w:val="en-US"/>
        </w:rPr>
        <w:t>; 12</w:t>
      </w:r>
      <w:r w:rsidRPr="00E67EC5">
        <w:rPr>
          <w:lang w:val="en-GB"/>
        </w:rPr>
        <w:t>].</w:t>
      </w:r>
    </w:p>
    <w:p w14:paraId="0A321109" w14:textId="77777777" w:rsidR="00A9682A" w:rsidRPr="00E67EC5" w:rsidRDefault="006A2515" w:rsidP="006A2515">
      <w:pPr>
        <w:pStyle w:val="a6"/>
        <w:spacing w:line="360" w:lineRule="auto"/>
        <w:ind w:right="0"/>
        <w:rPr>
          <w:lang w:val="en-GB"/>
        </w:rPr>
      </w:pPr>
      <w:r w:rsidRPr="00E67EC5">
        <w:rPr>
          <w:lang w:val="en-GB"/>
        </w:rPr>
        <w:t>However, it is hard to assess the quality of an expert’s work by using quantity indicators only. One should proceed from a distinction made between two large groups of quality indicators in an expert investigation: indicators directly related to the investigation and those associated with drawing up an opinion that reflects the investigation progress and the expert’s findings.</w:t>
      </w:r>
    </w:p>
    <w:p w14:paraId="0E2B488A" w14:textId="77777777" w:rsidR="008A59FD" w:rsidRDefault="006A2515" w:rsidP="006A2515">
      <w:pPr>
        <w:pStyle w:val="a6"/>
        <w:spacing w:line="360" w:lineRule="auto"/>
        <w:ind w:right="0"/>
      </w:pPr>
      <w:r w:rsidRPr="00E67EC5">
        <w:rPr>
          <w:lang w:val="en-GB"/>
        </w:rPr>
        <w:t xml:space="preserve">Indicators from the first group may include: </w:t>
      </w:r>
    </w:p>
    <w:p w14:paraId="3B9B1015" w14:textId="5D0B126C" w:rsidR="008A59FD" w:rsidRDefault="00A941B5" w:rsidP="006A2515">
      <w:pPr>
        <w:pStyle w:val="a6"/>
        <w:spacing w:line="360" w:lineRule="auto"/>
        <w:ind w:right="0"/>
      </w:pPr>
      <w:r w:rsidRPr="00E67EC5">
        <w:rPr>
          <w:lang w:val="en-GB"/>
        </w:rPr>
        <w:t>A</w:t>
      </w:r>
      <w:r w:rsidR="006A2515" w:rsidRPr="00E67EC5">
        <w:rPr>
          <w:lang w:val="en-GB"/>
        </w:rPr>
        <w:t xml:space="preserve"> match between the selected methodology, on the one hand, and the specifics of investigated objects and the task put before the expert, on the other; </w:t>
      </w:r>
    </w:p>
    <w:p w14:paraId="381B6858" w14:textId="6B6317C8" w:rsidR="008A59FD" w:rsidRDefault="00A941B5" w:rsidP="006A2515">
      <w:pPr>
        <w:pStyle w:val="a6"/>
        <w:spacing w:line="360" w:lineRule="auto"/>
        <w:ind w:right="0"/>
      </w:pPr>
      <w:r w:rsidRPr="00E67EC5">
        <w:rPr>
          <w:lang w:val="en-GB"/>
        </w:rPr>
        <w:t>Advanced</w:t>
      </w:r>
      <w:r w:rsidR="006A2515" w:rsidRPr="00E67EC5">
        <w:rPr>
          <w:lang w:val="en-GB"/>
        </w:rPr>
        <w:t xml:space="preserve"> level of investigation (applying a set of modern investigation techniques); </w:t>
      </w:r>
    </w:p>
    <w:p w14:paraId="360A3B93" w14:textId="7776E94F" w:rsidR="008A59FD" w:rsidRDefault="00A941B5" w:rsidP="006A2515">
      <w:pPr>
        <w:pStyle w:val="a6"/>
        <w:spacing w:line="360" w:lineRule="auto"/>
        <w:ind w:right="0"/>
      </w:pPr>
      <w:r w:rsidRPr="00E67EC5">
        <w:rPr>
          <w:lang w:val="en-GB"/>
        </w:rPr>
        <w:t>Rationality</w:t>
      </w:r>
      <w:r w:rsidR="006A2515" w:rsidRPr="00E67EC5">
        <w:rPr>
          <w:lang w:val="en-GB"/>
        </w:rPr>
        <w:t xml:space="preserve"> of investigation (choosing the shortest path to solve a problem);</w:t>
      </w:r>
    </w:p>
    <w:p w14:paraId="2F8C232B" w14:textId="119FEFFB" w:rsidR="008A59FD" w:rsidRDefault="00A941B5" w:rsidP="006A2515">
      <w:pPr>
        <w:pStyle w:val="a6"/>
        <w:spacing w:line="360" w:lineRule="auto"/>
        <w:ind w:right="0"/>
      </w:pPr>
      <w:r w:rsidRPr="00E67EC5">
        <w:rPr>
          <w:lang w:val="en-GB"/>
        </w:rPr>
        <w:t>Economical</w:t>
      </w:r>
      <w:r w:rsidR="006A2515" w:rsidRPr="00E67EC5">
        <w:rPr>
          <w:lang w:val="en-GB"/>
        </w:rPr>
        <w:t xml:space="preserve"> use of test substances; accuracy of assessing the totality of identified elements (its compliance with the developed criteria); </w:t>
      </w:r>
    </w:p>
    <w:p w14:paraId="77C4B54C" w14:textId="2E758607" w:rsidR="006A2515" w:rsidRPr="00E67EC5" w:rsidRDefault="00A941B5" w:rsidP="006A2515">
      <w:pPr>
        <w:pStyle w:val="a6"/>
        <w:spacing w:line="360" w:lineRule="auto"/>
        <w:ind w:right="0"/>
        <w:rPr>
          <w:lang w:val="en-GB"/>
        </w:rPr>
      </w:pPr>
      <w:bookmarkStart w:id="0" w:name="_GoBack"/>
      <w:bookmarkEnd w:id="0"/>
      <w:proofErr w:type="gramStart"/>
      <w:r w:rsidRPr="00E67EC5">
        <w:rPr>
          <w:lang w:val="en-GB"/>
        </w:rPr>
        <w:t>Proactive</w:t>
      </w:r>
      <w:r w:rsidR="006A2515" w:rsidRPr="00E67EC5">
        <w:rPr>
          <w:lang w:val="en-GB"/>
        </w:rPr>
        <w:t xml:space="preserve"> approach by the expert, as may be necessary to establish facts relevant to the case.</w:t>
      </w:r>
      <w:proofErr w:type="gramEnd"/>
    </w:p>
    <w:p w14:paraId="506C2B2E" w14:textId="77777777" w:rsidR="006A2515" w:rsidRPr="00E67EC5" w:rsidRDefault="006A2515" w:rsidP="006A2515">
      <w:pPr>
        <w:pStyle w:val="a6"/>
        <w:spacing w:line="360" w:lineRule="auto"/>
        <w:ind w:right="0"/>
        <w:rPr>
          <w:lang w:val="en-GB"/>
        </w:rPr>
      </w:pPr>
      <w:r w:rsidRPr="00E67EC5">
        <w:rPr>
          <w:lang w:val="en-GB"/>
        </w:rPr>
        <w:t>Indicators from the second group may include scientific validity, completeness, clarity and visualisation of the opinion. This aspect is associated with efficiency assessment of an expert’s operations and is relevant within an institutional structure, although outputs from such operations have a direct impact on attainment of general goals in forensic examination.</w:t>
      </w:r>
    </w:p>
    <w:p w14:paraId="06F9248A" w14:textId="77777777" w:rsidR="008A59FD" w:rsidRDefault="006A2515" w:rsidP="006A2515">
      <w:pPr>
        <w:pStyle w:val="a6"/>
        <w:spacing w:line="360" w:lineRule="auto"/>
        <w:ind w:right="0"/>
      </w:pPr>
      <w:r w:rsidRPr="00E67EC5">
        <w:rPr>
          <w:lang w:val="en-GB"/>
        </w:rPr>
        <w:t xml:space="preserve">Scientific validity and completeness of an opinion are manifested in the following: </w:t>
      </w:r>
    </w:p>
    <w:p w14:paraId="2D2CB241" w14:textId="02A4DE80" w:rsidR="008A59FD" w:rsidRDefault="005F3C76" w:rsidP="006A2515">
      <w:pPr>
        <w:pStyle w:val="a6"/>
        <w:spacing w:line="360" w:lineRule="auto"/>
        <w:ind w:right="0"/>
      </w:pPr>
      <w:r w:rsidRPr="00E67EC5">
        <w:rPr>
          <w:lang w:val="en-GB"/>
        </w:rPr>
        <w:t>Accuracy</w:t>
      </w:r>
      <w:r w:rsidR="006A2515" w:rsidRPr="00E67EC5">
        <w:rPr>
          <w:lang w:val="en-GB"/>
        </w:rPr>
        <w:t xml:space="preserve"> and consistency in the description of items, investigation process, </w:t>
      </w:r>
      <w:proofErr w:type="gramStart"/>
      <w:r w:rsidR="006A2515" w:rsidRPr="00E67EC5">
        <w:rPr>
          <w:lang w:val="en-GB"/>
        </w:rPr>
        <w:t>appearance</w:t>
      </w:r>
      <w:proofErr w:type="gramEnd"/>
      <w:r w:rsidR="006A2515" w:rsidRPr="00E67EC5">
        <w:rPr>
          <w:lang w:val="en-GB"/>
        </w:rPr>
        <w:t xml:space="preserve"> of investigated items, thereby enabling their individualisation; </w:t>
      </w:r>
    </w:p>
    <w:p w14:paraId="104D8730" w14:textId="1E62D50C" w:rsidR="008A59FD" w:rsidRDefault="005F3C76" w:rsidP="006A2515">
      <w:pPr>
        <w:pStyle w:val="a6"/>
        <w:spacing w:line="360" w:lineRule="auto"/>
        <w:ind w:right="0"/>
      </w:pPr>
      <w:r w:rsidRPr="00E67EC5">
        <w:rPr>
          <w:lang w:val="en-GB"/>
        </w:rPr>
        <w:t>Elements</w:t>
      </w:r>
      <w:r w:rsidR="006A2515" w:rsidRPr="00E67EC5">
        <w:rPr>
          <w:lang w:val="en-GB"/>
        </w:rPr>
        <w:t xml:space="preserve"> identified during the investigation through application of scientific techniques; objective links established between the identified elements and the sought fact; </w:t>
      </w:r>
    </w:p>
    <w:p w14:paraId="2B15EFCA" w14:textId="592F8D5F" w:rsidR="008A59FD" w:rsidRDefault="005F3C76" w:rsidP="006A2515">
      <w:pPr>
        <w:pStyle w:val="a6"/>
        <w:spacing w:line="360" w:lineRule="auto"/>
        <w:ind w:right="0"/>
      </w:pPr>
      <w:r w:rsidRPr="00E67EC5">
        <w:rPr>
          <w:lang w:val="en-GB"/>
        </w:rPr>
        <w:t>A</w:t>
      </w:r>
      <w:r w:rsidR="006A2515" w:rsidRPr="00E67EC5">
        <w:rPr>
          <w:lang w:val="en-GB"/>
        </w:rPr>
        <w:t xml:space="preserve"> statement of interim findings arrived at during the investigation and used to </w:t>
      </w:r>
      <w:proofErr w:type="gramStart"/>
      <w:r w:rsidR="006A2515" w:rsidRPr="00E67EC5">
        <w:rPr>
          <w:lang w:val="en-GB"/>
        </w:rPr>
        <w:lastRenderedPageBreak/>
        <w:t>formulate</w:t>
      </w:r>
      <w:proofErr w:type="gramEnd"/>
      <w:r w:rsidR="006A2515" w:rsidRPr="00E67EC5">
        <w:rPr>
          <w:lang w:val="en-GB"/>
        </w:rPr>
        <w:t xml:space="preserve"> the final findings; </w:t>
      </w:r>
    </w:p>
    <w:p w14:paraId="34398695" w14:textId="4F532DF8" w:rsidR="008A59FD" w:rsidRDefault="005F3C76" w:rsidP="006A2515">
      <w:pPr>
        <w:pStyle w:val="a6"/>
        <w:spacing w:line="360" w:lineRule="auto"/>
        <w:ind w:right="0"/>
      </w:pPr>
      <w:r w:rsidRPr="00E67EC5">
        <w:rPr>
          <w:lang w:val="en-GB"/>
        </w:rPr>
        <w:t>A</w:t>
      </w:r>
      <w:r w:rsidR="006A2515" w:rsidRPr="00E67EC5">
        <w:rPr>
          <w:lang w:val="en-GB"/>
        </w:rPr>
        <w:t xml:space="preserve"> statement of final findings based on the assessment of the totality of identified elements; </w:t>
      </w:r>
    </w:p>
    <w:p w14:paraId="213B7C3A" w14:textId="2B9D16C6" w:rsidR="008A59FD" w:rsidRDefault="005F3C76" w:rsidP="006A2515">
      <w:pPr>
        <w:pStyle w:val="a6"/>
        <w:spacing w:line="360" w:lineRule="auto"/>
        <w:ind w:right="0"/>
      </w:pPr>
      <w:r w:rsidRPr="00E67EC5">
        <w:rPr>
          <w:lang w:val="en-GB"/>
        </w:rPr>
        <w:t>No</w:t>
      </w:r>
      <w:r w:rsidR="006A2515" w:rsidRPr="00E67EC5">
        <w:rPr>
          <w:lang w:val="en-GB"/>
        </w:rPr>
        <w:t xml:space="preserve"> unanswered questions. </w:t>
      </w:r>
    </w:p>
    <w:p w14:paraId="2BA3292A" w14:textId="0219835B" w:rsidR="00A9682A" w:rsidRPr="00E67EC5" w:rsidRDefault="006A2515" w:rsidP="006A2515">
      <w:pPr>
        <w:pStyle w:val="a6"/>
        <w:spacing w:line="360" w:lineRule="auto"/>
        <w:ind w:right="0"/>
        <w:rPr>
          <w:lang w:val="en-GB"/>
        </w:rPr>
      </w:pPr>
      <w:r w:rsidRPr="00E67EC5">
        <w:rPr>
          <w:lang w:val="en-GB"/>
        </w:rPr>
        <w:t>Clarity is characterised by logical reasoning, accessibility of presentation for laymen (explanation of special terms, etc.), a match between the findings and the questions posed. Visualisation is determined by the necessary visual materials attached to the opinion.</w:t>
      </w:r>
    </w:p>
    <w:p w14:paraId="767C2CE4" w14:textId="3DC437F3" w:rsidR="006A2515" w:rsidRPr="00E67EC5" w:rsidRDefault="00F920F2" w:rsidP="006A2515">
      <w:pPr>
        <w:pStyle w:val="a6"/>
        <w:spacing w:line="360" w:lineRule="auto"/>
        <w:ind w:right="0"/>
        <w:rPr>
          <w:lang w:val="en-GB"/>
        </w:rPr>
      </w:pPr>
      <w:r w:rsidRPr="00E67EC5">
        <w:rPr>
          <w:lang w:val="en-GB"/>
        </w:rPr>
        <w:t>Thus, quality and efficiency in investigation are fairly interlinked — higher quality of the investigation is guaranteed to increase its efficiency.</w:t>
      </w:r>
    </w:p>
    <w:p w14:paraId="14D314E7" w14:textId="5946B135" w:rsidR="00C520C8" w:rsidRPr="00E67EC5" w:rsidRDefault="00C520C8" w:rsidP="00C520C8">
      <w:pPr>
        <w:shd w:val="clear" w:color="auto" w:fill="FFFFFF"/>
        <w:spacing w:line="360" w:lineRule="auto"/>
        <w:ind w:firstLine="720"/>
        <w:jc w:val="both"/>
        <w:rPr>
          <w:color w:val="000000"/>
          <w:sz w:val="28"/>
          <w:szCs w:val="28"/>
          <w:lang w:val="en-GB"/>
        </w:rPr>
      </w:pPr>
      <w:r w:rsidRPr="00E67EC5">
        <w:rPr>
          <w:color w:val="000000"/>
          <w:sz w:val="28"/>
          <w:szCs w:val="28"/>
          <w:lang w:val="en-GB"/>
        </w:rPr>
        <w:t>Because of its geographical and geopolitical position, Ukraine cannot insulate or protect itself against the phenomena that are currently inherent in any other country in the world. In this regard, V. V. </w:t>
      </w:r>
      <w:proofErr w:type="spellStart"/>
      <w:r w:rsidRPr="00E67EC5">
        <w:rPr>
          <w:color w:val="000000"/>
          <w:sz w:val="28"/>
          <w:szCs w:val="28"/>
          <w:lang w:val="en-GB"/>
        </w:rPr>
        <w:t>Stashys</w:t>
      </w:r>
      <w:proofErr w:type="spellEnd"/>
      <w:r w:rsidRPr="00E67EC5">
        <w:rPr>
          <w:color w:val="000000"/>
          <w:sz w:val="28"/>
          <w:szCs w:val="28"/>
          <w:lang w:val="en-GB"/>
        </w:rPr>
        <w:t xml:space="preserve"> was right to draw attention to the fact that an upsurge in organised crime both in Ukraine and in most other countries had been observed recently. This social phenomenon poses danger not only to individual countries, but also to the entire global community. [4, p. 133</w:t>
      </w:r>
      <w:r w:rsidR="00553931">
        <w:rPr>
          <w:color w:val="000000"/>
          <w:sz w:val="28"/>
          <w:szCs w:val="28"/>
        </w:rPr>
        <w:t>; 10</w:t>
      </w:r>
      <w:r w:rsidRPr="00E67EC5">
        <w:rPr>
          <w:color w:val="000000"/>
          <w:sz w:val="28"/>
          <w:szCs w:val="28"/>
          <w:lang w:val="en-GB"/>
        </w:rPr>
        <w:t>]</w:t>
      </w:r>
    </w:p>
    <w:p w14:paraId="15650F78" w14:textId="0809292E" w:rsidR="00A9682A" w:rsidRPr="00E67EC5" w:rsidRDefault="00C520C8" w:rsidP="00C520C8">
      <w:pPr>
        <w:shd w:val="clear" w:color="auto" w:fill="FFFFFF"/>
        <w:spacing w:line="360" w:lineRule="auto"/>
        <w:ind w:firstLine="720"/>
        <w:jc w:val="both"/>
        <w:rPr>
          <w:color w:val="000000"/>
          <w:sz w:val="28"/>
          <w:szCs w:val="28"/>
          <w:lang w:val="en-GB"/>
        </w:rPr>
      </w:pPr>
      <w:r w:rsidRPr="00E67EC5">
        <w:rPr>
          <w:color w:val="000000"/>
          <w:sz w:val="28"/>
          <w:szCs w:val="28"/>
          <w:lang w:val="en-GB"/>
        </w:rPr>
        <w:t xml:space="preserve">Investigations in criminal cases related to the activities of transnational criminal organisations are associated with a certain degree of risk facing the individuals engaged in identification, prevention, suppression, detection or investigation of crimes, as well as in court hearings of criminal cases. Without optimum conditions created for proper administration of justice, including by ensuring the safety of individuals participating in criminal proceedings, no fight against organised crime through the use of criminal law methods would be possible. Under Article 65 of the Criminal Procedure Code of Ukraine (previous version), sources of evidentiary information on the basis of which an investigating authority, investigator or court establish the presence or absence of a socially dangerous act, culpability of its perpetrator or other circumstances relevant to the proper </w:t>
      </w:r>
      <w:proofErr w:type="spellStart"/>
      <w:r w:rsidRPr="00E67EC5">
        <w:rPr>
          <w:color w:val="000000"/>
          <w:sz w:val="28"/>
          <w:szCs w:val="28"/>
          <w:lang w:val="en-GB"/>
        </w:rPr>
        <w:lastRenderedPageBreak/>
        <w:t>adjudgement</w:t>
      </w:r>
      <w:proofErr w:type="spellEnd"/>
      <w:r w:rsidRPr="00E67EC5">
        <w:rPr>
          <w:color w:val="000000"/>
          <w:sz w:val="28"/>
          <w:szCs w:val="28"/>
          <w:lang w:val="en-GB"/>
        </w:rPr>
        <w:t xml:space="preserve"> include a forensic expert opinion. Article 77.3 of the CPCU provided for the expert’s right to protection, where eligible [5, p. 15</w:t>
      </w:r>
      <w:r w:rsidR="00553931" w:rsidRPr="00553931">
        <w:rPr>
          <w:color w:val="000000"/>
          <w:sz w:val="28"/>
          <w:szCs w:val="28"/>
          <w:lang w:val="en-US"/>
        </w:rPr>
        <w:t>; 11</w:t>
      </w:r>
      <w:r w:rsidRPr="00E67EC5">
        <w:rPr>
          <w:color w:val="000000"/>
          <w:sz w:val="28"/>
          <w:szCs w:val="28"/>
          <w:lang w:val="en-GB"/>
        </w:rPr>
        <w:t>]</w:t>
      </w:r>
      <w:r w:rsidR="00E67EC5" w:rsidRPr="00E67EC5">
        <w:rPr>
          <w:rStyle w:val="a8"/>
          <w:sz w:val="28"/>
          <w:szCs w:val="28"/>
          <w:lang w:val="en-GB"/>
        </w:rPr>
        <w:footnoteReference w:id="1"/>
      </w:r>
      <w:r w:rsidRPr="00E67EC5">
        <w:rPr>
          <w:color w:val="000000"/>
          <w:sz w:val="28"/>
          <w:szCs w:val="28"/>
          <w:lang w:val="en-GB"/>
        </w:rPr>
        <w:t>.</w:t>
      </w:r>
    </w:p>
    <w:p w14:paraId="1BD9E07D" w14:textId="627D84E7" w:rsidR="00C520C8" w:rsidRPr="00E67EC5" w:rsidRDefault="001E02BF" w:rsidP="00C520C8">
      <w:pPr>
        <w:shd w:val="clear" w:color="auto" w:fill="FFFFFF"/>
        <w:spacing w:line="360" w:lineRule="auto"/>
        <w:ind w:firstLine="720"/>
        <w:jc w:val="both"/>
        <w:rPr>
          <w:color w:val="000000"/>
          <w:sz w:val="28"/>
          <w:szCs w:val="28"/>
          <w:lang w:val="en-GB"/>
        </w:rPr>
      </w:pPr>
      <w:r w:rsidRPr="00E67EC5">
        <w:rPr>
          <w:color w:val="000000"/>
          <w:sz w:val="28"/>
          <w:szCs w:val="28"/>
          <w:lang w:val="en-GB"/>
        </w:rPr>
        <w:t>Article 7 of the Law of Ukraine ‘On Forensic Examination’ stipulates that forensic activities in Ukraine shall be carried out by specialised state institutions that include research and other forensic institutions of the Ministry of Justice and the Ministry of Health, as well as forensic services of the Ministry of Internal Affairs and the Ministry of Defence, Security Service and the State Border Guard Service of Ukraine. Furthermore, forensic activities may be carried out by individuals on commercial basis under one-time contracts [6, p. 232</w:t>
      </w:r>
      <w:r w:rsidR="00553931" w:rsidRPr="00553931">
        <w:rPr>
          <w:color w:val="000000"/>
          <w:sz w:val="28"/>
          <w:szCs w:val="28"/>
          <w:lang w:val="en-US"/>
        </w:rPr>
        <w:t>; 12</w:t>
      </w:r>
      <w:r w:rsidRPr="00E67EC5">
        <w:rPr>
          <w:color w:val="000000"/>
          <w:sz w:val="28"/>
          <w:szCs w:val="28"/>
          <w:lang w:val="en-GB"/>
        </w:rPr>
        <w:t>].</w:t>
      </w:r>
    </w:p>
    <w:p w14:paraId="1085D795" w14:textId="04607ECB" w:rsidR="00C520C8" w:rsidRPr="00E67EC5" w:rsidRDefault="00C520C8" w:rsidP="00C520C8">
      <w:pPr>
        <w:shd w:val="clear" w:color="auto" w:fill="FFFFFF"/>
        <w:spacing w:line="360" w:lineRule="auto"/>
        <w:ind w:firstLine="720"/>
        <w:jc w:val="both"/>
        <w:rPr>
          <w:color w:val="000000"/>
          <w:sz w:val="28"/>
          <w:szCs w:val="28"/>
          <w:lang w:val="en-GB"/>
        </w:rPr>
      </w:pPr>
      <w:r w:rsidRPr="00E67EC5">
        <w:rPr>
          <w:color w:val="000000"/>
          <w:sz w:val="28"/>
          <w:szCs w:val="28"/>
          <w:lang w:val="en-GB"/>
        </w:rPr>
        <w:t>Safety of forensic experts is regulated by the Law of Ukraine ‘On Ensuring the Safety of Persons Participating in Criminal Process’ [7, p. 51</w:t>
      </w:r>
      <w:r w:rsidR="00553931" w:rsidRPr="00553931">
        <w:rPr>
          <w:color w:val="000000"/>
          <w:sz w:val="28"/>
          <w:szCs w:val="28"/>
          <w:lang w:val="en-US"/>
        </w:rPr>
        <w:t>; 10</w:t>
      </w:r>
      <w:r w:rsidRPr="00E67EC5">
        <w:rPr>
          <w:color w:val="000000"/>
          <w:sz w:val="28"/>
          <w:szCs w:val="28"/>
          <w:lang w:val="en-GB"/>
        </w:rPr>
        <w:t>]. Ensuring the safety of individuals participating in criminal proceedings, under Article 1 of the Law of Ukraine ‘On Ensuring the Safety of Persons Participating in Criminal Process’, involves legal, administrative, technical and other measures taken by law enforcement authorities to protect life, homes, health and property of these persons against unlawful encroachments, with the aim of establishing the necessary conditions for proper administration of justice. In Article 2</w:t>
      </w:r>
      <w:proofErr w:type="gramStart"/>
      <w:r w:rsidRPr="00E67EC5">
        <w:rPr>
          <w:color w:val="000000"/>
          <w:sz w:val="28"/>
          <w:szCs w:val="28"/>
          <w:lang w:val="en-GB"/>
        </w:rPr>
        <w:t>.(</w:t>
      </w:r>
      <w:proofErr w:type="gramEnd"/>
      <w:r w:rsidRPr="00E67EC5">
        <w:rPr>
          <w:color w:val="000000"/>
          <w:sz w:val="28"/>
          <w:szCs w:val="28"/>
          <w:lang w:val="en-GB"/>
        </w:rPr>
        <w:t>f) of this Law, a forensic expert is directly listed among the individuals entitled to protection, where eligible.</w:t>
      </w:r>
    </w:p>
    <w:p w14:paraId="1BA96914" w14:textId="77777777" w:rsidR="00A9682A" w:rsidRPr="00E67EC5" w:rsidRDefault="00FD39F3" w:rsidP="00C520C8">
      <w:pPr>
        <w:shd w:val="clear" w:color="auto" w:fill="FFFFFF"/>
        <w:spacing w:line="360" w:lineRule="auto"/>
        <w:ind w:firstLine="720"/>
        <w:jc w:val="both"/>
        <w:rPr>
          <w:color w:val="000000"/>
          <w:sz w:val="28"/>
          <w:szCs w:val="28"/>
          <w:lang w:val="en-GB"/>
        </w:rPr>
      </w:pPr>
      <w:r w:rsidRPr="00E67EC5">
        <w:rPr>
          <w:color w:val="000000"/>
          <w:sz w:val="28"/>
          <w:szCs w:val="28"/>
          <w:lang w:val="en-GB"/>
        </w:rPr>
        <w:t xml:space="preserve">Entitlement of forensic experts to safety is regulated not only by this Law. Employees of specialised state institutions that perform forensic examinations (Ministry of Justice, Ministry of Health, Ministry of Internal Affairs, Ministry of Defence, Security Service, </w:t>
      </w:r>
      <w:proofErr w:type="gramStart"/>
      <w:r w:rsidRPr="00E67EC5">
        <w:rPr>
          <w:color w:val="000000"/>
          <w:sz w:val="28"/>
          <w:szCs w:val="28"/>
          <w:lang w:val="en-GB"/>
        </w:rPr>
        <w:t>State</w:t>
      </w:r>
      <w:proofErr w:type="gramEnd"/>
      <w:r w:rsidRPr="00E67EC5">
        <w:rPr>
          <w:color w:val="000000"/>
          <w:sz w:val="28"/>
          <w:szCs w:val="28"/>
          <w:lang w:val="en-GB"/>
        </w:rPr>
        <w:t xml:space="preserve"> Border Guard Service of Ukraine) are law enforcement officers.</w:t>
      </w:r>
    </w:p>
    <w:p w14:paraId="65E2A4EB" w14:textId="04ECE24E" w:rsidR="00A9682A" w:rsidRPr="00E67EC5" w:rsidRDefault="00C520C8" w:rsidP="00C520C8">
      <w:pPr>
        <w:shd w:val="clear" w:color="auto" w:fill="FFFFFF"/>
        <w:spacing w:line="360" w:lineRule="auto"/>
        <w:ind w:firstLine="720"/>
        <w:jc w:val="both"/>
        <w:rPr>
          <w:color w:val="000000"/>
          <w:sz w:val="28"/>
          <w:szCs w:val="28"/>
          <w:lang w:val="en-GB"/>
        </w:rPr>
      </w:pPr>
      <w:r w:rsidRPr="00E67EC5">
        <w:rPr>
          <w:color w:val="000000"/>
          <w:sz w:val="28"/>
          <w:szCs w:val="28"/>
          <w:lang w:val="en-GB"/>
        </w:rPr>
        <w:t>Performing forensic examinations constitutes the exercise of (law) enforcement functions, which, under Article 2.1 of the Law of Ukraine ‘On State Protection of Judicial and Law Enforcement Employees’, is an attribute of law enforcement authorities [8, p. 50</w:t>
      </w:r>
      <w:r w:rsidR="00553931" w:rsidRPr="00553931">
        <w:rPr>
          <w:color w:val="000000"/>
          <w:sz w:val="28"/>
          <w:szCs w:val="28"/>
          <w:lang w:val="en-US"/>
        </w:rPr>
        <w:t>; 11</w:t>
      </w:r>
      <w:r w:rsidRPr="00E67EC5">
        <w:rPr>
          <w:color w:val="000000"/>
          <w:sz w:val="28"/>
          <w:szCs w:val="28"/>
          <w:lang w:val="en-GB"/>
        </w:rPr>
        <w:t xml:space="preserve">]. By its Article 1, this Law establishes a system of special measures for the state protection of judicial and law enforcement employees from </w:t>
      </w:r>
      <w:r w:rsidRPr="00E67EC5">
        <w:rPr>
          <w:color w:val="000000"/>
          <w:sz w:val="28"/>
          <w:szCs w:val="28"/>
          <w:lang w:val="en-GB"/>
        </w:rPr>
        <w:lastRenderedPageBreak/>
        <w:t xml:space="preserve">obstructing the exercise of their statutory duties and rights. It is also intended to protect these individuals, in connection with their official activities, and their immediate family against encroachments on their life, health, home or property. </w:t>
      </w:r>
      <w:r w:rsidR="009F676C" w:rsidRPr="009F676C">
        <w:rPr>
          <w:color w:val="000000"/>
          <w:sz w:val="28"/>
          <w:szCs w:val="28"/>
          <w:lang w:val="en-GB"/>
        </w:rPr>
        <w:t>It would thus seem appropriate to stipulate that those forensic experts who are employees of state research or other expert institutions of the Ministry of Justice and Ministry of Health, as well as of expert services of the Ministry of Internal Affairs, Ministry of Defence and the Security Service, shall be protected entities under the Law of Ukraine ‘On State Protection of Judicial and Law Enforcement Employees’.</w:t>
      </w:r>
    </w:p>
    <w:p w14:paraId="4E11C387" w14:textId="77777777" w:rsidR="00A9682A" w:rsidRPr="00E67EC5" w:rsidRDefault="00C520C8" w:rsidP="00C520C8">
      <w:pPr>
        <w:shd w:val="clear" w:color="auto" w:fill="FFFFFF"/>
        <w:spacing w:line="360" w:lineRule="auto"/>
        <w:ind w:firstLine="720"/>
        <w:jc w:val="both"/>
        <w:rPr>
          <w:color w:val="000000"/>
          <w:sz w:val="28"/>
          <w:szCs w:val="28"/>
          <w:lang w:val="en-GB"/>
        </w:rPr>
      </w:pPr>
      <w:r w:rsidRPr="00E67EC5">
        <w:rPr>
          <w:color w:val="000000"/>
          <w:sz w:val="28"/>
          <w:szCs w:val="28"/>
          <w:lang w:val="en-GB"/>
        </w:rPr>
        <w:t>Forensic experts from among the persons performing forensic activities on a commercial basis, as well as individuals who provide forensic examinations under one-time contracts, are entitled to protection in the manner prescribed by the Law of Ukraine ‘On Ensuring the Safety of Persons Participating in Criminal Process’.</w:t>
      </w:r>
    </w:p>
    <w:p w14:paraId="44D788C2" w14:textId="5E294439" w:rsidR="00C520C8" w:rsidRPr="00E67EC5" w:rsidRDefault="00C520C8" w:rsidP="00C520C8">
      <w:pPr>
        <w:shd w:val="clear" w:color="auto" w:fill="FFFFFF"/>
        <w:spacing w:line="360" w:lineRule="auto"/>
        <w:ind w:firstLine="720"/>
        <w:jc w:val="both"/>
        <w:rPr>
          <w:color w:val="000000"/>
          <w:sz w:val="28"/>
          <w:szCs w:val="28"/>
          <w:lang w:val="en-GB"/>
        </w:rPr>
      </w:pPr>
      <w:r w:rsidRPr="00E67EC5">
        <w:rPr>
          <w:color w:val="000000"/>
          <w:sz w:val="28"/>
          <w:szCs w:val="28"/>
          <w:lang w:val="en-GB"/>
        </w:rPr>
        <w:t xml:space="preserve">The scope of protective measures stipulated by these two Laws for various categories of persons is also different. However, forensic activities carried out by employees of state </w:t>
      </w:r>
      <w:r w:rsidR="009F676C">
        <w:rPr>
          <w:color w:val="000000"/>
          <w:sz w:val="28"/>
          <w:szCs w:val="28"/>
          <w:lang w:val="en-GB"/>
        </w:rPr>
        <w:t>expert</w:t>
      </w:r>
      <w:r w:rsidRPr="00E67EC5">
        <w:rPr>
          <w:color w:val="000000"/>
          <w:sz w:val="28"/>
          <w:szCs w:val="28"/>
          <w:lang w:val="en-GB"/>
        </w:rPr>
        <w:t xml:space="preserve"> research institutions are usually associated with the support for criminal proceedings. By contrast, private business employees are generally engaged as forensic experts in civil or economic legal proceedings under one-time contracts [9, p. 202–204</w:t>
      </w:r>
      <w:r w:rsidR="00553931" w:rsidRPr="00553931">
        <w:rPr>
          <w:color w:val="000000"/>
          <w:sz w:val="28"/>
          <w:szCs w:val="28"/>
          <w:lang w:val="en-US"/>
        </w:rPr>
        <w:t>; 10; 11; 12</w:t>
      </w:r>
      <w:r w:rsidRPr="00E67EC5">
        <w:rPr>
          <w:color w:val="000000"/>
          <w:sz w:val="28"/>
          <w:szCs w:val="28"/>
          <w:lang w:val="en-GB"/>
        </w:rPr>
        <w:t>].</w:t>
      </w:r>
    </w:p>
    <w:p w14:paraId="458CC957" w14:textId="77777777" w:rsidR="00A9682A" w:rsidRPr="00E67EC5" w:rsidRDefault="00C520C8" w:rsidP="00A066AD">
      <w:pPr>
        <w:shd w:val="clear" w:color="auto" w:fill="FFFFFF"/>
        <w:spacing w:line="360" w:lineRule="auto"/>
        <w:ind w:firstLine="720"/>
        <w:jc w:val="both"/>
        <w:rPr>
          <w:color w:val="000000"/>
          <w:sz w:val="28"/>
          <w:szCs w:val="28"/>
          <w:lang w:val="en-GB"/>
        </w:rPr>
      </w:pPr>
      <w:r w:rsidRPr="00E67EC5">
        <w:rPr>
          <w:color w:val="000000"/>
          <w:sz w:val="28"/>
          <w:szCs w:val="28"/>
          <w:lang w:val="en-GB"/>
        </w:rPr>
        <w:t>A more specific legislative definition of forensic experts’ protection, depending on the departmental affiliation of forensic or other institutions, would put individuals performing forensic examinations as part of their official duties on an equal footing with other employees from these institutions.</w:t>
      </w:r>
    </w:p>
    <w:p w14:paraId="549C1484" w14:textId="6C8E5F06" w:rsidR="00706207" w:rsidRPr="00E67EC5" w:rsidRDefault="00E72DA4" w:rsidP="00A066AD">
      <w:pPr>
        <w:shd w:val="clear" w:color="auto" w:fill="FFFFFF"/>
        <w:spacing w:line="360" w:lineRule="auto"/>
        <w:ind w:firstLine="720"/>
        <w:jc w:val="both"/>
        <w:rPr>
          <w:color w:val="000000"/>
          <w:sz w:val="28"/>
          <w:szCs w:val="28"/>
          <w:lang w:val="en-GB"/>
        </w:rPr>
      </w:pPr>
      <w:r w:rsidRPr="00E72DA4">
        <w:rPr>
          <w:b/>
          <w:spacing w:val="2"/>
          <w:sz w:val="28"/>
          <w:szCs w:val="28"/>
          <w:lang w:val="en-US"/>
        </w:rPr>
        <w:t xml:space="preserve">Conclusion </w:t>
      </w:r>
      <w:r w:rsidR="00C520C8" w:rsidRPr="00E67EC5">
        <w:rPr>
          <w:color w:val="000000"/>
          <w:sz w:val="28"/>
          <w:szCs w:val="28"/>
          <w:lang w:val="en-GB"/>
        </w:rPr>
        <w:t>It should be noted in summary that, in our opinion, setting up a system of reliable legal protection for a forensic expert as a participant in legal proceedings and a source of expert opinion would preclude (to a large extent) any potential physical or psychological pressure and would have a correspondent impact on the quality of investigation and validity of its findings.</w:t>
      </w:r>
    </w:p>
    <w:p w14:paraId="02CBDCA8" w14:textId="77777777" w:rsidR="00F21DDB" w:rsidRPr="00E67EC5" w:rsidRDefault="00F21DDB" w:rsidP="00A066AD">
      <w:pPr>
        <w:shd w:val="clear" w:color="auto" w:fill="FFFFFF"/>
        <w:spacing w:line="360" w:lineRule="auto"/>
        <w:ind w:firstLine="720"/>
        <w:jc w:val="both"/>
        <w:rPr>
          <w:color w:val="000000"/>
          <w:sz w:val="28"/>
          <w:szCs w:val="28"/>
          <w:lang w:val="en-GB"/>
        </w:rPr>
      </w:pPr>
    </w:p>
    <w:p w14:paraId="13268237" w14:textId="77777777" w:rsidR="00285CC7" w:rsidRPr="00285CC7" w:rsidRDefault="00285CC7" w:rsidP="00285CC7">
      <w:pPr>
        <w:spacing w:line="360" w:lineRule="auto"/>
        <w:ind w:left="426" w:hanging="426"/>
        <w:jc w:val="center"/>
        <w:rPr>
          <w:rFonts w:eastAsia="Arial Unicode MS"/>
          <w:b/>
          <w:bCs/>
          <w:color w:val="000000"/>
          <w:lang w:val="en-US"/>
        </w:rPr>
      </w:pPr>
      <w:r w:rsidRPr="00285CC7">
        <w:rPr>
          <w:rFonts w:eastAsia="Arial Unicode MS"/>
          <w:b/>
          <w:bCs/>
          <w:i/>
          <w:color w:val="000000"/>
          <w:lang w:val="en-US"/>
        </w:rPr>
        <w:t xml:space="preserve">References </w:t>
      </w:r>
    </w:p>
    <w:p w14:paraId="6C796199" w14:textId="1FAC2271" w:rsidR="00DD62EF" w:rsidRPr="00285CC7" w:rsidRDefault="00F21DDB" w:rsidP="00EA065F">
      <w:pPr>
        <w:pStyle w:val="a6"/>
        <w:spacing w:line="360" w:lineRule="auto"/>
        <w:ind w:right="0"/>
        <w:rPr>
          <w:sz w:val="24"/>
          <w:szCs w:val="24"/>
          <w:lang w:val="en-GB"/>
        </w:rPr>
      </w:pPr>
      <w:r w:rsidRPr="00285CC7">
        <w:rPr>
          <w:sz w:val="24"/>
          <w:szCs w:val="24"/>
          <w:lang w:val="en-GB"/>
        </w:rPr>
        <w:t>1.</w:t>
      </w:r>
      <w:r w:rsidR="0093159F" w:rsidRPr="00285CC7">
        <w:rPr>
          <w:sz w:val="24"/>
          <w:szCs w:val="24"/>
          <w:lang w:val="en-GB"/>
        </w:rPr>
        <w:tab/>
      </w:r>
      <w:bookmarkStart w:id="1" w:name="OLE_LINK1"/>
      <w:bookmarkStart w:id="2" w:name="OLE_LINK2"/>
      <w:proofErr w:type="spellStart"/>
      <w:r w:rsidR="0085519A" w:rsidRPr="0085519A">
        <w:rPr>
          <w:i/>
          <w:sz w:val="24"/>
          <w:szCs w:val="24"/>
          <w:lang w:val="en-GB"/>
        </w:rPr>
        <w:t>Redin</w:t>
      </w:r>
      <w:proofErr w:type="spellEnd"/>
      <w:r w:rsidR="0085519A" w:rsidRPr="00840876">
        <w:rPr>
          <w:i/>
          <w:sz w:val="24"/>
          <w:szCs w:val="24"/>
          <w:lang w:val="en-US"/>
        </w:rPr>
        <w:t xml:space="preserve"> </w:t>
      </w:r>
      <w:r w:rsidR="0093159F" w:rsidRPr="00285CC7">
        <w:rPr>
          <w:i/>
          <w:sz w:val="24"/>
          <w:szCs w:val="24"/>
          <w:lang w:val="en-GB"/>
        </w:rPr>
        <w:t>A. M. </w:t>
      </w:r>
      <w:bookmarkEnd w:id="1"/>
      <w:bookmarkEnd w:id="2"/>
      <w:r w:rsidRPr="00285CC7">
        <w:rPr>
          <w:sz w:val="24"/>
          <w:szCs w:val="24"/>
          <w:lang w:val="en-GB"/>
        </w:rPr>
        <w:t xml:space="preserve"> </w:t>
      </w:r>
      <w:r w:rsidR="0093159F" w:rsidRPr="00285CC7">
        <w:rPr>
          <w:iCs/>
          <w:sz w:val="24"/>
          <w:szCs w:val="24"/>
          <w:lang w:val="en-GB"/>
        </w:rPr>
        <w:t xml:space="preserve">On Quality of Forensic Examination Findings and Their Evidentiary </w:t>
      </w:r>
      <w:r w:rsidR="0093159F" w:rsidRPr="00285CC7">
        <w:rPr>
          <w:iCs/>
          <w:sz w:val="24"/>
          <w:szCs w:val="24"/>
          <w:lang w:val="en-GB"/>
        </w:rPr>
        <w:lastRenderedPageBreak/>
        <w:t>Value</w:t>
      </w:r>
      <w:r w:rsidR="0093159F" w:rsidRPr="00285CC7">
        <w:rPr>
          <w:sz w:val="24"/>
          <w:szCs w:val="24"/>
          <w:lang w:val="en-GB"/>
        </w:rPr>
        <w:t xml:space="preserve">, </w:t>
      </w:r>
      <w:r w:rsidR="005D6773" w:rsidRPr="00285CC7">
        <w:rPr>
          <w:sz w:val="24"/>
          <w:szCs w:val="24"/>
          <w:lang w:val="en-GB"/>
        </w:rPr>
        <w:t xml:space="preserve">in </w:t>
      </w:r>
      <w:r w:rsidR="0093159F" w:rsidRPr="00285CC7">
        <w:rPr>
          <w:iCs/>
          <w:sz w:val="24"/>
          <w:szCs w:val="24"/>
          <w:lang w:val="en-GB"/>
        </w:rPr>
        <w:t>Forensic Science and Examination</w:t>
      </w:r>
      <w:r w:rsidR="0093159F" w:rsidRPr="00285CC7">
        <w:rPr>
          <w:sz w:val="24"/>
          <w:szCs w:val="24"/>
          <w:lang w:val="en-GB"/>
        </w:rPr>
        <w:t xml:space="preserve"> (Kyiv</w:t>
      </w:r>
      <w:r w:rsidRPr="00285CC7">
        <w:rPr>
          <w:sz w:val="24"/>
          <w:szCs w:val="24"/>
          <w:lang w:val="en-GB"/>
        </w:rPr>
        <w:t>, 1979</w:t>
      </w:r>
      <w:r w:rsidR="0093159F" w:rsidRPr="00285CC7">
        <w:rPr>
          <w:sz w:val="24"/>
          <w:szCs w:val="24"/>
          <w:lang w:val="en-GB"/>
        </w:rPr>
        <w:t>), vol. </w:t>
      </w:r>
      <w:r w:rsidRPr="00285CC7">
        <w:rPr>
          <w:sz w:val="24"/>
          <w:szCs w:val="24"/>
          <w:lang w:val="en-GB"/>
        </w:rPr>
        <w:t xml:space="preserve">19, </w:t>
      </w:r>
      <w:r w:rsidR="0093159F" w:rsidRPr="00285CC7">
        <w:rPr>
          <w:sz w:val="24"/>
          <w:szCs w:val="24"/>
          <w:lang w:val="en-GB"/>
        </w:rPr>
        <w:t>pp. </w:t>
      </w:r>
      <w:r w:rsidRPr="00285CC7">
        <w:rPr>
          <w:sz w:val="24"/>
          <w:szCs w:val="24"/>
          <w:lang w:val="en-GB"/>
        </w:rPr>
        <w:t>33</w:t>
      </w:r>
      <w:r w:rsidR="0093159F" w:rsidRPr="00285CC7">
        <w:rPr>
          <w:sz w:val="24"/>
          <w:szCs w:val="24"/>
          <w:lang w:val="en-GB"/>
        </w:rPr>
        <w:noBreakHyphen/>
      </w:r>
      <w:r w:rsidRPr="00285CC7">
        <w:rPr>
          <w:sz w:val="24"/>
          <w:szCs w:val="24"/>
          <w:lang w:val="en-GB"/>
        </w:rPr>
        <w:t>36.</w:t>
      </w:r>
    </w:p>
    <w:p w14:paraId="07A22ED6" w14:textId="5CEE1144" w:rsidR="00DD62EF" w:rsidRPr="00285CC7" w:rsidRDefault="00F21DDB" w:rsidP="00EA065F">
      <w:pPr>
        <w:pStyle w:val="a6"/>
        <w:spacing w:line="360" w:lineRule="auto"/>
        <w:ind w:right="0"/>
        <w:rPr>
          <w:sz w:val="24"/>
          <w:szCs w:val="24"/>
          <w:lang w:val="en-GB"/>
        </w:rPr>
      </w:pPr>
      <w:proofErr w:type="gramStart"/>
      <w:r w:rsidRPr="00285CC7">
        <w:rPr>
          <w:sz w:val="24"/>
          <w:szCs w:val="24"/>
          <w:lang w:val="en-GB"/>
        </w:rPr>
        <w:t>2.</w:t>
      </w:r>
      <w:r w:rsidR="0093159F" w:rsidRPr="00285CC7">
        <w:rPr>
          <w:sz w:val="24"/>
          <w:szCs w:val="24"/>
          <w:lang w:val="en-GB"/>
        </w:rPr>
        <w:tab/>
      </w:r>
      <w:proofErr w:type="spellStart"/>
      <w:r w:rsidR="0085519A" w:rsidRPr="0085519A">
        <w:rPr>
          <w:i/>
          <w:sz w:val="24"/>
          <w:szCs w:val="24"/>
          <w:lang w:val="en-GB"/>
        </w:rPr>
        <w:t>Kononenko</w:t>
      </w:r>
      <w:proofErr w:type="spellEnd"/>
      <w:r w:rsidR="0085519A" w:rsidRPr="0085519A">
        <w:rPr>
          <w:i/>
          <w:sz w:val="24"/>
          <w:szCs w:val="24"/>
          <w:lang w:val="en-US"/>
        </w:rPr>
        <w:t xml:space="preserve"> </w:t>
      </w:r>
      <w:r w:rsidR="0093159F" w:rsidRPr="00285CC7">
        <w:rPr>
          <w:i/>
          <w:sz w:val="24"/>
          <w:szCs w:val="24"/>
          <w:lang w:val="en-GB"/>
        </w:rPr>
        <w:t>I. P.</w:t>
      </w:r>
      <w:proofErr w:type="gramEnd"/>
      <w:r w:rsidR="0085519A" w:rsidRPr="0085519A">
        <w:rPr>
          <w:i/>
          <w:sz w:val="24"/>
          <w:szCs w:val="24"/>
          <w:lang w:val="en-US"/>
        </w:rPr>
        <w:t xml:space="preserve"> </w:t>
      </w:r>
      <w:r w:rsidR="0093159F" w:rsidRPr="00285CC7">
        <w:rPr>
          <w:iCs/>
          <w:sz w:val="24"/>
          <w:szCs w:val="24"/>
          <w:lang w:val="en-GB"/>
        </w:rPr>
        <w:t xml:space="preserve"> Certain</w:t>
      </w:r>
      <w:r w:rsidR="00BC3E5E" w:rsidRPr="00285CC7">
        <w:rPr>
          <w:iCs/>
          <w:sz w:val="24"/>
          <w:szCs w:val="24"/>
          <w:lang w:val="en-GB"/>
        </w:rPr>
        <w:t xml:space="preserve"> Procedural Specifics of Forensic</w:t>
      </w:r>
      <w:r w:rsidRPr="00285CC7">
        <w:rPr>
          <w:iCs/>
          <w:sz w:val="24"/>
          <w:szCs w:val="24"/>
          <w:lang w:val="en-GB"/>
        </w:rPr>
        <w:t xml:space="preserve"> </w:t>
      </w:r>
      <w:r w:rsidR="00BC3E5E" w:rsidRPr="00285CC7">
        <w:rPr>
          <w:iCs/>
          <w:sz w:val="24"/>
          <w:szCs w:val="24"/>
          <w:lang w:val="en-GB"/>
        </w:rPr>
        <w:t xml:space="preserve">Examinations Performed at </w:t>
      </w:r>
      <w:r w:rsidR="009F676C" w:rsidRPr="00285CC7">
        <w:rPr>
          <w:iCs/>
          <w:sz w:val="24"/>
          <w:szCs w:val="24"/>
          <w:lang w:val="en-GB"/>
        </w:rPr>
        <w:t>Expert</w:t>
      </w:r>
      <w:r w:rsidR="00BC3E5E" w:rsidRPr="00285CC7">
        <w:rPr>
          <w:iCs/>
          <w:sz w:val="24"/>
          <w:szCs w:val="24"/>
          <w:lang w:val="en-GB"/>
        </w:rPr>
        <w:t xml:space="preserve"> Institutions</w:t>
      </w:r>
      <w:r w:rsidR="00BC3E5E" w:rsidRPr="00285CC7">
        <w:rPr>
          <w:sz w:val="24"/>
          <w:szCs w:val="24"/>
          <w:lang w:val="en-GB"/>
        </w:rPr>
        <w:t xml:space="preserve">, </w:t>
      </w:r>
      <w:r w:rsidR="005D6773" w:rsidRPr="00285CC7">
        <w:rPr>
          <w:sz w:val="24"/>
          <w:szCs w:val="24"/>
          <w:lang w:val="en-GB"/>
        </w:rPr>
        <w:t xml:space="preserve">in </w:t>
      </w:r>
      <w:r w:rsidR="005D6773" w:rsidRPr="00285CC7">
        <w:rPr>
          <w:iCs/>
          <w:sz w:val="24"/>
          <w:szCs w:val="24"/>
          <w:lang w:val="en-GB"/>
        </w:rPr>
        <w:t>Forensic Science and Examination</w:t>
      </w:r>
      <w:r w:rsidR="00BC3E5E" w:rsidRPr="00285CC7">
        <w:rPr>
          <w:sz w:val="24"/>
          <w:szCs w:val="24"/>
          <w:lang w:val="en-GB"/>
        </w:rPr>
        <w:t xml:space="preserve"> (Kyiv, 1976), vol. 12, pp. </w:t>
      </w:r>
      <w:r w:rsidRPr="00285CC7">
        <w:rPr>
          <w:sz w:val="24"/>
          <w:szCs w:val="24"/>
          <w:lang w:val="en-GB"/>
        </w:rPr>
        <w:t>31</w:t>
      </w:r>
      <w:r w:rsidR="005D6773" w:rsidRPr="00285CC7">
        <w:rPr>
          <w:sz w:val="24"/>
          <w:szCs w:val="24"/>
          <w:lang w:val="en-GB"/>
        </w:rPr>
        <w:t>–</w:t>
      </w:r>
      <w:r w:rsidRPr="00285CC7">
        <w:rPr>
          <w:sz w:val="24"/>
          <w:szCs w:val="24"/>
          <w:lang w:val="en-GB"/>
        </w:rPr>
        <w:t>40.</w:t>
      </w:r>
    </w:p>
    <w:p w14:paraId="73EB6BC8" w14:textId="3AAB3DE7" w:rsidR="00DD62EF" w:rsidRPr="00285CC7" w:rsidRDefault="00F21DDB" w:rsidP="00EA065F">
      <w:pPr>
        <w:pStyle w:val="a6"/>
        <w:spacing w:line="360" w:lineRule="auto"/>
        <w:ind w:right="0"/>
        <w:rPr>
          <w:sz w:val="24"/>
          <w:szCs w:val="24"/>
          <w:lang w:val="en-GB"/>
        </w:rPr>
      </w:pPr>
      <w:r w:rsidRPr="00285CC7">
        <w:rPr>
          <w:sz w:val="24"/>
          <w:szCs w:val="24"/>
          <w:lang w:val="en-GB"/>
        </w:rPr>
        <w:t>3.</w:t>
      </w:r>
      <w:r w:rsidR="00BC3E5E" w:rsidRPr="00285CC7">
        <w:rPr>
          <w:sz w:val="24"/>
          <w:szCs w:val="24"/>
          <w:lang w:val="en-GB"/>
        </w:rPr>
        <w:tab/>
      </w:r>
      <w:proofErr w:type="spellStart"/>
      <w:r w:rsidR="0085519A" w:rsidRPr="0085519A">
        <w:rPr>
          <w:i/>
          <w:sz w:val="24"/>
          <w:szCs w:val="24"/>
          <w:lang w:val="en-GB"/>
        </w:rPr>
        <w:t>Matiychenko</w:t>
      </w:r>
      <w:proofErr w:type="spellEnd"/>
      <w:r w:rsidR="0085519A" w:rsidRPr="00840876">
        <w:rPr>
          <w:i/>
          <w:sz w:val="24"/>
          <w:szCs w:val="24"/>
          <w:lang w:val="en-US"/>
        </w:rPr>
        <w:t xml:space="preserve"> </w:t>
      </w:r>
      <w:r w:rsidR="00BC3E5E" w:rsidRPr="00285CC7">
        <w:rPr>
          <w:i/>
          <w:sz w:val="24"/>
          <w:szCs w:val="24"/>
          <w:lang w:val="en-GB"/>
        </w:rPr>
        <w:t>B. A. </w:t>
      </w:r>
      <w:r w:rsidRPr="00285CC7">
        <w:rPr>
          <w:sz w:val="24"/>
          <w:szCs w:val="24"/>
          <w:lang w:val="en-GB"/>
        </w:rPr>
        <w:t xml:space="preserve"> </w:t>
      </w:r>
      <w:r w:rsidR="00BC3E5E" w:rsidRPr="00285CC7">
        <w:rPr>
          <w:iCs/>
          <w:sz w:val="24"/>
          <w:szCs w:val="24"/>
          <w:lang w:val="en-GB"/>
        </w:rPr>
        <w:t xml:space="preserve">Selecting Criteria and Indicators for Efficiency Analysis of Forensic Activities in the </w:t>
      </w:r>
      <w:r w:rsidR="009F676C" w:rsidRPr="00285CC7">
        <w:rPr>
          <w:iCs/>
          <w:sz w:val="24"/>
          <w:szCs w:val="24"/>
          <w:lang w:val="en-GB"/>
        </w:rPr>
        <w:t>Expert</w:t>
      </w:r>
      <w:r w:rsidR="00BC3E5E" w:rsidRPr="00285CC7">
        <w:rPr>
          <w:iCs/>
          <w:sz w:val="24"/>
          <w:szCs w:val="24"/>
          <w:lang w:val="en-GB"/>
        </w:rPr>
        <w:t xml:space="preserve"> Institutions’ Scientific Research and Practice</w:t>
      </w:r>
      <w:r w:rsidR="00BC3E5E" w:rsidRPr="00285CC7">
        <w:rPr>
          <w:sz w:val="24"/>
          <w:szCs w:val="24"/>
          <w:lang w:val="en-GB"/>
        </w:rPr>
        <w:t xml:space="preserve">, </w:t>
      </w:r>
      <w:r w:rsidR="005D6773" w:rsidRPr="00285CC7">
        <w:rPr>
          <w:sz w:val="24"/>
          <w:szCs w:val="24"/>
          <w:lang w:val="en-GB"/>
        </w:rPr>
        <w:t xml:space="preserve">in </w:t>
      </w:r>
      <w:r w:rsidR="00BC3E5E" w:rsidRPr="00285CC7">
        <w:rPr>
          <w:iCs/>
          <w:sz w:val="24"/>
          <w:szCs w:val="24"/>
          <w:lang w:val="en-GB"/>
        </w:rPr>
        <w:t>Institutional and Legal Issues of Forensic Examination</w:t>
      </w:r>
      <w:r w:rsidR="005D6773" w:rsidRPr="00285CC7">
        <w:rPr>
          <w:sz w:val="24"/>
          <w:szCs w:val="24"/>
          <w:lang w:val="en-GB"/>
        </w:rPr>
        <w:t>:</w:t>
      </w:r>
      <w:r w:rsidRPr="00285CC7">
        <w:rPr>
          <w:sz w:val="24"/>
          <w:szCs w:val="24"/>
          <w:lang w:val="en-GB"/>
        </w:rPr>
        <w:t xml:space="preserve"> </w:t>
      </w:r>
      <w:r w:rsidR="005D6773" w:rsidRPr="00285CC7">
        <w:rPr>
          <w:iCs/>
          <w:sz w:val="24"/>
          <w:szCs w:val="24"/>
          <w:lang w:val="en-GB"/>
        </w:rPr>
        <w:t>Collected Papers</w:t>
      </w:r>
      <w:r w:rsidRPr="00285CC7">
        <w:rPr>
          <w:sz w:val="24"/>
          <w:szCs w:val="24"/>
          <w:lang w:val="en-GB"/>
        </w:rPr>
        <w:t xml:space="preserve"> </w:t>
      </w:r>
      <w:r w:rsidR="00BC3E5E" w:rsidRPr="00285CC7">
        <w:rPr>
          <w:sz w:val="24"/>
          <w:szCs w:val="24"/>
          <w:lang w:val="en-GB"/>
        </w:rPr>
        <w:t xml:space="preserve">(Moscow, </w:t>
      </w:r>
      <w:r w:rsidRPr="00285CC7">
        <w:rPr>
          <w:sz w:val="24"/>
          <w:szCs w:val="24"/>
          <w:lang w:val="en-GB"/>
        </w:rPr>
        <w:t>1982</w:t>
      </w:r>
      <w:r w:rsidR="00BC3E5E" w:rsidRPr="00285CC7">
        <w:rPr>
          <w:sz w:val="24"/>
          <w:szCs w:val="24"/>
          <w:lang w:val="en-GB"/>
        </w:rPr>
        <w:t>)</w:t>
      </w:r>
      <w:r w:rsidRPr="00285CC7">
        <w:rPr>
          <w:sz w:val="24"/>
          <w:szCs w:val="24"/>
          <w:lang w:val="en-GB"/>
        </w:rPr>
        <w:t xml:space="preserve">, </w:t>
      </w:r>
      <w:r w:rsidR="00BC3E5E" w:rsidRPr="00285CC7">
        <w:rPr>
          <w:sz w:val="24"/>
          <w:szCs w:val="24"/>
          <w:lang w:val="en-GB"/>
        </w:rPr>
        <w:t>pp. </w:t>
      </w:r>
      <w:r w:rsidRPr="00285CC7">
        <w:rPr>
          <w:sz w:val="24"/>
          <w:szCs w:val="24"/>
          <w:lang w:val="en-GB"/>
        </w:rPr>
        <w:t>25</w:t>
      </w:r>
      <w:r w:rsidR="00BC3E5E" w:rsidRPr="00285CC7">
        <w:rPr>
          <w:sz w:val="24"/>
          <w:szCs w:val="24"/>
          <w:lang w:val="en-GB"/>
        </w:rPr>
        <w:t>–</w:t>
      </w:r>
      <w:r w:rsidRPr="00285CC7">
        <w:rPr>
          <w:sz w:val="24"/>
          <w:szCs w:val="24"/>
          <w:lang w:val="en-GB"/>
        </w:rPr>
        <w:t>30.</w:t>
      </w:r>
    </w:p>
    <w:p w14:paraId="50E38F88" w14:textId="38993F20" w:rsidR="00A9682A" w:rsidRPr="00285CC7" w:rsidRDefault="00F21DDB" w:rsidP="00A9682A">
      <w:pPr>
        <w:pStyle w:val="a6"/>
        <w:spacing w:line="360" w:lineRule="auto"/>
        <w:ind w:right="0"/>
        <w:rPr>
          <w:color w:val="000000"/>
          <w:sz w:val="24"/>
          <w:szCs w:val="24"/>
          <w:lang w:val="en-GB"/>
        </w:rPr>
      </w:pPr>
      <w:r w:rsidRPr="00285CC7">
        <w:rPr>
          <w:color w:val="000000"/>
          <w:sz w:val="24"/>
          <w:szCs w:val="24"/>
          <w:lang w:val="en-GB"/>
        </w:rPr>
        <w:t>4.</w:t>
      </w:r>
      <w:r w:rsidR="005D6773" w:rsidRPr="00285CC7">
        <w:rPr>
          <w:color w:val="000000"/>
          <w:sz w:val="24"/>
          <w:szCs w:val="24"/>
          <w:lang w:val="en-GB"/>
        </w:rPr>
        <w:tab/>
      </w:r>
      <w:proofErr w:type="spellStart"/>
      <w:r w:rsidR="0085519A" w:rsidRPr="0085519A">
        <w:rPr>
          <w:i/>
          <w:color w:val="000000"/>
          <w:sz w:val="24"/>
          <w:szCs w:val="24"/>
          <w:lang w:val="en-GB"/>
        </w:rPr>
        <w:t>Stashys</w:t>
      </w:r>
      <w:proofErr w:type="spellEnd"/>
      <w:r w:rsidR="0085519A" w:rsidRPr="00840876">
        <w:rPr>
          <w:i/>
          <w:color w:val="000000"/>
          <w:sz w:val="24"/>
          <w:szCs w:val="24"/>
          <w:lang w:val="en-US"/>
        </w:rPr>
        <w:t xml:space="preserve"> </w:t>
      </w:r>
      <w:r w:rsidR="005D6773" w:rsidRPr="00285CC7">
        <w:rPr>
          <w:i/>
          <w:color w:val="000000"/>
          <w:sz w:val="24"/>
          <w:szCs w:val="24"/>
          <w:lang w:val="en-GB"/>
        </w:rPr>
        <w:t>V. V. </w:t>
      </w:r>
      <w:r w:rsidRPr="00285CC7">
        <w:rPr>
          <w:color w:val="000000"/>
          <w:sz w:val="24"/>
          <w:szCs w:val="24"/>
          <w:lang w:val="en-GB"/>
        </w:rPr>
        <w:t xml:space="preserve"> </w:t>
      </w:r>
      <w:r w:rsidR="001D5005" w:rsidRPr="00285CC7">
        <w:rPr>
          <w:iCs/>
          <w:color w:val="000000"/>
          <w:sz w:val="24"/>
          <w:szCs w:val="24"/>
          <w:lang w:val="en-GB"/>
        </w:rPr>
        <w:t>Certain Aspects of Combatting Organised Cr</w:t>
      </w:r>
      <w:r w:rsidR="00E67EC5" w:rsidRPr="00285CC7">
        <w:rPr>
          <w:iCs/>
          <w:color w:val="000000"/>
          <w:sz w:val="24"/>
          <w:szCs w:val="24"/>
          <w:lang w:val="en-GB"/>
        </w:rPr>
        <w:t>ime</w:t>
      </w:r>
      <w:r w:rsidR="00E67EC5" w:rsidRPr="00285CC7">
        <w:rPr>
          <w:color w:val="000000"/>
          <w:sz w:val="24"/>
          <w:szCs w:val="24"/>
          <w:lang w:val="en-GB"/>
        </w:rPr>
        <w:t xml:space="preserve">, in </w:t>
      </w:r>
      <w:r w:rsidR="00E67EC5" w:rsidRPr="00285CC7">
        <w:rPr>
          <w:iCs/>
          <w:color w:val="000000"/>
          <w:sz w:val="24"/>
          <w:szCs w:val="24"/>
          <w:lang w:val="en-GB"/>
        </w:rPr>
        <w:t>Bulletin of the Academy of Legal Sciences of Ukraine</w:t>
      </w:r>
      <w:r w:rsidR="00E67EC5" w:rsidRPr="00285CC7">
        <w:rPr>
          <w:color w:val="000000"/>
          <w:sz w:val="24"/>
          <w:szCs w:val="24"/>
          <w:lang w:val="en-GB"/>
        </w:rPr>
        <w:t xml:space="preserve"> (</w:t>
      </w:r>
      <w:r w:rsidRPr="00285CC7">
        <w:rPr>
          <w:color w:val="000000"/>
          <w:sz w:val="24"/>
          <w:szCs w:val="24"/>
          <w:lang w:val="en-GB"/>
        </w:rPr>
        <w:t>2000</w:t>
      </w:r>
      <w:r w:rsidR="00E67EC5" w:rsidRPr="00285CC7">
        <w:rPr>
          <w:color w:val="000000"/>
          <w:sz w:val="24"/>
          <w:szCs w:val="24"/>
          <w:lang w:val="en-GB"/>
        </w:rPr>
        <w:t>),</w:t>
      </w:r>
      <w:r w:rsidRPr="00285CC7">
        <w:rPr>
          <w:color w:val="000000"/>
          <w:sz w:val="24"/>
          <w:szCs w:val="24"/>
          <w:lang w:val="en-GB"/>
        </w:rPr>
        <w:t xml:space="preserve"> </w:t>
      </w:r>
      <w:r w:rsidR="00E67EC5" w:rsidRPr="00285CC7">
        <w:rPr>
          <w:color w:val="000000"/>
          <w:sz w:val="24"/>
          <w:szCs w:val="24"/>
          <w:lang w:val="en-GB"/>
        </w:rPr>
        <w:t>No. </w:t>
      </w:r>
      <w:r w:rsidRPr="00285CC7">
        <w:rPr>
          <w:color w:val="000000"/>
          <w:sz w:val="24"/>
          <w:szCs w:val="24"/>
          <w:lang w:val="en-GB"/>
        </w:rPr>
        <w:t xml:space="preserve">4, </w:t>
      </w:r>
      <w:r w:rsidR="00E67EC5" w:rsidRPr="00285CC7">
        <w:rPr>
          <w:color w:val="000000"/>
          <w:sz w:val="24"/>
          <w:szCs w:val="24"/>
          <w:lang w:val="en-GB"/>
        </w:rPr>
        <w:t>p</w:t>
      </w:r>
      <w:r w:rsidRPr="00285CC7">
        <w:rPr>
          <w:color w:val="000000"/>
          <w:sz w:val="24"/>
          <w:szCs w:val="24"/>
          <w:lang w:val="en-GB"/>
        </w:rPr>
        <w:t>.</w:t>
      </w:r>
      <w:r w:rsidR="00E67EC5" w:rsidRPr="00285CC7">
        <w:rPr>
          <w:color w:val="000000"/>
          <w:sz w:val="24"/>
          <w:szCs w:val="24"/>
          <w:lang w:val="en-GB"/>
        </w:rPr>
        <w:t> </w:t>
      </w:r>
      <w:r w:rsidRPr="00285CC7">
        <w:rPr>
          <w:color w:val="000000"/>
          <w:sz w:val="24"/>
          <w:szCs w:val="24"/>
          <w:lang w:val="en-GB"/>
        </w:rPr>
        <w:t>133.</w:t>
      </w:r>
    </w:p>
    <w:p w14:paraId="7DCF6E5D" w14:textId="08005848" w:rsidR="00316220" w:rsidRPr="00285CC7" w:rsidRDefault="00F21DDB" w:rsidP="00EA065F">
      <w:pPr>
        <w:shd w:val="clear" w:color="auto" w:fill="FFFFFF"/>
        <w:spacing w:line="360" w:lineRule="auto"/>
        <w:ind w:firstLine="720"/>
        <w:jc w:val="both"/>
        <w:rPr>
          <w:lang w:val="en-GB"/>
        </w:rPr>
      </w:pPr>
      <w:r w:rsidRPr="00285CC7">
        <w:rPr>
          <w:lang w:val="en-GB"/>
        </w:rPr>
        <w:t>5.</w:t>
      </w:r>
      <w:r w:rsidR="001D5005" w:rsidRPr="00285CC7">
        <w:rPr>
          <w:lang w:val="en-GB"/>
        </w:rPr>
        <w:tab/>
      </w:r>
      <w:r w:rsidR="001D5005" w:rsidRPr="00285CC7">
        <w:rPr>
          <w:iCs/>
          <w:lang w:val="en-GB"/>
        </w:rPr>
        <w:t>Criminal Procedure Code of Ukraine</w:t>
      </w:r>
      <w:r w:rsidR="001D5005" w:rsidRPr="00285CC7">
        <w:rPr>
          <w:lang w:val="en-GB"/>
        </w:rPr>
        <w:t xml:space="preserve">, in </w:t>
      </w:r>
      <w:r w:rsidR="001D5005" w:rsidRPr="00285CC7">
        <w:rPr>
          <w:iCs/>
          <w:lang w:val="en-GB"/>
        </w:rPr>
        <w:t xml:space="preserve">Official Bulletin of the </w:t>
      </w:r>
      <w:proofErr w:type="spellStart"/>
      <w:r w:rsidR="001D5005" w:rsidRPr="00285CC7">
        <w:rPr>
          <w:iCs/>
          <w:lang w:val="en-GB"/>
        </w:rPr>
        <w:t>Verkhovna</w:t>
      </w:r>
      <w:proofErr w:type="spellEnd"/>
      <w:r w:rsidR="001D5005" w:rsidRPr="00285CC7">
        <w:rPr>
          <w:iCs/>
          <w:lang w:val="en-GB"/>
        </w:rPr>
        <w:t xml:space="preserve"> </w:t>
      </w:r>
      <w:proofErr w:type="spellStart"/>
      <w:r w:rsidR="001D5005" w:rsidRPr="00285CC7">
        <w:rPr>
          <w:iCs/>
          <w:lang w:val="en-GB"/>
        </w:rPr>
        <w:t>Rada</w:t>
      </w:r>
      <w:proofErr w:type="spellEnd"/>
      <w:r w:rsidR="001D5005" w:rsidRPr="00285CC7">
        <w:rPr>
          <w:iCs/>
          <w:lang w:val="en-GB"/>
        </w:rPr>
        <w:t xml:space="preserve"> of Ukrainian SSR</w:t>
      </w:r>
      <w:r w:rsidRPr="00285CC7">
        <w:rPr>
          <w:lang w:val="en-GB"/>
        </w:rPr>
        <w:t xml:space="preserve"> </w:t>
      </w:r>
      <w:r w:rsidR="001D5005" w:rsidRPr="00285CC7">
        <w:rPr>
          <w:lang w:val="en-GB"/>
        </w:rPr>
        <w:t>(</w:t>
      </w:r>
      <w:r w:rsidRPr="00285CC7">
        <w:rPr>
          <w:lang w:val="en-GB"/>
        </w:rPr>
        <w:t>1961</w:t>
      </w:r>
      <w:r w:rsidR="001D5005" w:rsidRPr="00285CC7">
        <w:rPr>
          <w:lang w:val="en-GB"/>
        </w:rPr>
        <w:t>),</w:t>
      </w:r>
      <w:r w:rsidRPr="00285CC7">
        <w:rPr>
          <w:lang w:val="en-GB"/>
        </w:rPr>
        <w:t xml:space="preserve"> </w:t>
      </w:r>
      <w:r w:rsidR="001D5005" w:rsidRPr="00285CC7">
        <w:rPr>
          <w:lang w:val="en-GB"/>
        </w:rPr>
        <w:t>No. </w:t>
      </w:r>
      <w:r w:rsidRPr="00285CC7">
        <w:rPr>
          <w:lang w:val="en-GB"/>
        </w:rPr>
        <w:t xml:space="preserve">2, </w:t>
      </w:r>
      <w:r w:rsidR="001D5005" w:rsidRPr="00285CC7">
        <w:rPr>
          <w:lang w:val="en-GB"/>
        </w:rPr>
        <w:t>p</w:t>
      </w:r>
      <w:r w:rsidRPr="00285CC7">
        <w:rPr>
          <w:lang w:val="en-GB"/>
        </w:rPr>
        <w:t>.</w:t>
      </w:r>
      <w:r w:rsidR="001D5005" w:rsidRPr="00285CC7">
        <w:rPr>
          <w:lang w:val="en-GB"/>
        </w:rPr>
        <w:t> </w:t>
      </w:r>
      <w:r w:rsidRPr="00285CC7">
        <w:rPr>
          <w:lang w:val="en-GB"/>
        </w:rPr>
        <w:t>15.</w:t>
      </w:r>
    </w:p>
    <w:p w14:paraId="19C9D9ED" w14:textId="363E8CD5" w:rsidR="00DD62EF" w:rsidRPr="00285CC7" w:rsidRDefault="00F21DDB" w:rsidP="00EA065F">
      <w:pPr>
        <w:shd w:val="clear" w:color="auto" w:fill="FFFFFF"/>
        <w:spacing w:line="360" w:lineRule="auto"/>
        <w:ind w:firstLine="720"/>
        <w:jc w:val="both"/>
        <w:rPr>
          <w:lang w:val="en-GB"/>
        </w:rPr>
      </w:pPr>
      <w:r w:rsidRPr="00285CC7">
        <w:rPr>
          <w:lang w:val="en-GB"/>
        </w:rPr>
        <w:t>6.</w:t>
      </w:r>
      <w:r w:rsidR="001D5005" w:rsidRPr="00285CC7">
        <w:rPr>
          <w:lang w:val="en-GB"/>
        </w:rPr>
        <w:tab/>
      </w:r>
      <w:r w:rsidR="001D5005" w:rsidRPr="00285CC7">
        <w:rPr>
          <w:iCs/>
          <w:lang w:val="en-GB"/>
        </w:rPr>
        <w:t>On Forensic Examination, the Law of Ukraine No.</w:t>
      </w:r>
      <w:r w:rsidR="00AE3CD9" w:rsidRPr="00285CC7">
        <w:rPr>
          <w:iCs/>
          <w:lang w:val="en-GB"/>
        </w:rPr>
        <w:t xml:space="preserve"> </w:t>
      </w:r>
      <w:r w:rsidR="00DD62EF" w:rsidRPr="00285CC7">
        <w:rPr>
          <w:iCs/>
          <w:lang w:val="en-GB"/>
        </w:rPr>
        <w:t>4038-ХІІ</w:t>
      </w:r>
      <w:r w:rsidR="001D5005" w:rsidRPr="00285CC7">
        <w:rPr>
          <w:iCs/>
          <w:lang w:val="en-GB"/>
        </w:rPr>
        <w:t xml:space="preserve"> dated 25 February 1994</w:t>
      </w:r>
      <w:r w:rsidR="001D5005" w:rsidRPr="00285CC7">
        <w:rPr>
          <w:lang w:val="en-GB"/>
        </w:rPr>
        <w:t>,</w:t>
      </w:r>
      <w:r w:rsidR="001D5005" w:rsidRPr="00285CC7">
        <w:rPr>
          <w:color w:val="000000"/>
          <w:lang w:val="en-GB"/>
        </w:rPr>
        <w:t xml:space="preserve"> </w:t>
      </w:r>
      <w:r w:rsidR="001D5005" w:rsidRPr="00285CC7">
        <w:rPr>
          <w:lang w:val="en-GB"/>
        </w:rPr>
        <w:t xml:space="preserve">in </w:t>
      </w:r>
      <w:r w:rsidR="001D5005" w:rsidRPr="00285CC7">
        <w:rPr>
          <w:iCs/>
          <w:lang w:val="en-GB"/>
        </w:rPr>
        <w:t xml:space="preserve">Official Bulletin of the </w:t>
      </w:r>
      <w:proofErr w:type="spellStart"/>
      <w:r w:rsidR="001D5005" w:rsidRPr="00285CC7">
        <w:rPr>
          <w:iCs/>
          <w:lang w:val="en-GB"/>
        </w:rPr>
        <w:t>Verkhovna</w:t>
      </w:r>
      <w:proofErr w:type="spellEnd"/>
      <w:r w:rsidR="001D5005" w:rsidRPr="00285CC7">
        <w:rPr>
          <w:iCs/>
          <w:lang w:val="en-GB"/>
        </w:rPr>
        <w:t xml:space="preserve"> </w:t>
      </w:r>
      <w:proofErr w:type="spellStart"/>
      <w:r w:rsidR="001D5005" w:rsidRPr="00285CC7">
        <w:rPr>
          <w:iCs/>
          <w:lang w:val="en-GB"/>
        </w:rPr>
        <w:t>Rada</w:t>
      </w:r>
      <w:proofErr w:type="spellEnd"/>
      <w:r w:rsidR="001D5005" w:rsidRPr="00285CC7">
        <w:rPr>
          <w:iCs/>
          <w:lang w:val="en-GB"/>
        </w:rPr>
        <w:t xml:space="preserve"> of Ukraine</w:t>
      </w:r>
      <w:r w:rsidR="001D5005" w:rsidRPr="00285CC7">
        <w:rPr>
          <w:lang w:val="en-GB"/>
        </w:rPr>
        <w:t xml:space="preserve"> (1994), No. 28, p. 232.</w:t>
      </w:r>
    </w:p>
    <w:p w14:paraId="6FBA218D" w14:textId="6AEA6B74" w:rsidR="00DD62EF" w:rsidRPr="00285CC7" w:rsidRDefault="00F21DDB" w:rsidP="00A9682A">
      <w:pPr>
        <w:pStyle w:val="a6"/>
        <w:spacing w:line="360" w:lineRule="auto"/>
        <w:ind w:right="0"/>
        <w:rPr>
          <w:color w:val="000000"/>
          <w:sz w:val="24"/>
          <w:szCs w:val="24"/>
          <w:lang w:val="en-GB"/>
        </w:rPr>
      </w:pPr>
      <w:r w:rsidRPr="00285CC7">
        <w:rPr>
          <w:color w:val="000000"/>
          <w:sz w:val="24"/>
          <w:szCs w:val="24"/>
          <w:lang w:val="en-GB"/>
        </w:rPr>
        <w:t>7.</w:t>
      </w:r>
      <w:r w:rsidR="001D5005" w:rsidRPr="00285CC7">
        <w:rPr>
          <w:color w:val="000000"/>
          <w:sz w:val="24"/>
          <w:szCs w:val="24"/>
          <w:lang w:val="en-GB"/>
        </w:rPr>
        <w:tab/>
      </w:r>
      <w:r w:rsidRPr="00285CC7">
        <w:rPr>
          <w:iCs/>
          <w:color w:val="000000"/>
          <w:sz w:val="24"/>
          <w:szCs w:val="24"/>
          <w:lang w:val="en-GB"/>
        </w:rPr>
        <w:t>On Ensuring the Safety of Persons Participating in Criminal Process</w:t>
      </w:r>
      <w:r w:rsidR="005D6773" w:rsidRPr="00285CC7">
        <w:rPr>
          <w:color w:val="000000"/>
          <w:sz w:val="24"/>
          <w:szCs w:val="24"/>
          <w:lang w:val="en-GB"/>
        </w:rPr>
        <w:t>,</w:t>
      </w:r>
      <w:r w:rsidRPr="00285CC7">
        <w:rPr>
          <w:iCs/>
          <w:color w:val="000000"/>
          <w:sz w:val="24"/>
          <w:szCs w:val="24"/>
          <w:lang w:val="en-GB"/>
        </w:rPr>
        <w:t xml:space="preserve"> </w:t>
      </w:r>
      <w:r w:rsidR="005D6773" w:rsidRPr="00285CC7">
        <w:rPr>
          <w:iCs/>
          <w:color w:val="000000"/>
          <w:sz w:val="24"/>
          <w:szCs w:val="24"/>
          <w:lang w:val="en-GB"/>
        </w:rPr>
        <w:t>t</w:t>
      </w:r>
      <w:r w:rsidRPr="00285CC7">
        <w:rPr>
          <w:iCs/>
          <w:color w:val="000000"/>
          <w:sz w:val="24"/>
          <w:szCs w:val="24"/>
          <w:lang w:val="en-GB"/>
        </w:rPr>
        <w:t>he Law of Ukraine No. 3782-ХІІ dated 23 December 1993</w:t>
      </w:r>
      <w:r w:rsidR="005D6773" w:rsidRPr="00285CC7">
        <w:rPr>
          <w:color w:val="000000"/>
          <w:sz w:val="24"/>
          <w:szCs w:val="24"/>
          <w:lang w:val="en-GB"/>
        </w:rPr>
        <w:t>,</w:t>
      </w:r>
      <w:r w:rsidRPr="00285CC7">
        <w:rPr>
          <w:color w:val="000000"/>
          <w:sz w:val="24"/>
          <w:szCs w:val="24"/>
          <w:lang w:val="en-GB"/>
        </w:rPr>
        <w:t xml:space="preserve"> </w:t>
      </w:r>
      <w:bookmarkStart w:id="3" w:name="_Hlk16272603"/>
      <w:r w:rsidR="005D6773" w:rsidRPr="00285CC7">
        <w:rPr>
          <w:color w:val="000000"/>
          <w:sz w:val="24"/>
          <w:szCs w:val="24"/>
          <w:lang w:val="en-GB"/>
        </w:rPr>
        <w:t xml:space="preserve">in </w:t>
      </w:r>
      <w:r w:rsidRPr="00285CC7">
        <w:rPr>
          <w:iCs/>
          <w:color w:val="000000"/>
          <w:sz w:val="24"/>
          <w:szCs w:val="24"/>
          <w:lang w:val="en-GB"/>
        </w:rPr>
        <w:t xml:space="preserve">Official Bulletin of the </w:t>
      </w:r>
      <w:proofErr w:type="spellStart"/>
      <w:r w:rsidRPr="00285CC7">
        <w:rPr>
          <w:iCs/>
          <w:color w:val="000000"/>
          <w:sz w:val="24"/>
          <w:szCs w:val="24"/>
          <w:lang w:val="en-GB"/>
        </w:rPr>
        <w:t>Verkhovna</w:t>
      </w:r>
      <w:proofErr w:type="spellEnd"/>
      <w:r w:rsidRPr="00285CC7">
        <w:rPr>
          <w:iCs/>
          <w:color w:val="000000"/>
          <w:sz w:val="24"/>
          <w:szCs w:val="24"/>
          <w:lang w:val="en-GB"/>
        </w:rPr>
        <w:t xml:space="preserve"> </w:t>
      </w:r>
      <w:proofErr w:type="spellStart"/>
      <w:r w:rsidRPr="00285CC7">
        <w:rPr>
          <w:iCs/>
          <w:color w:val="000000"/>
          <w:sz w:val="24"/>
          <w:szCs w:val="24"/>
          <w:lang w:val="en-GB"/>
        </w:rPr>
        <w:t>Rada</w:t>
      </w:r>
      <w:proofErr w:type="spellEnd"/>
      <w:r w:rsidRPr="00285CC7">
        <w:rPr>
          <w:iCs/>
          <w:color w:val="000000"/>
          <w:sz w:val="24"/>
          <w:szCs w:val="24"/>
          <w:lang w:val="en-GB"/>
        </w:rPr>
        <w:t xml:space="preserve"> of Ukraine</w:t>
      </w:r>
      <w:r w:rsidRPr="00285CC7">
        <w:rPr>
          <w:color w:val="000000"/>
          <w:sz w:val="24"/>
          <w:szCs w:val="24"/>
          <w:lang w:val="en-GB"/>
        </w:rPr>
        <w:t xml:space="preserve"> </w:t>
      </w:r>
      <w:r w:rsidR="005D6773" w:rsidRPr="00285CC7">
        <w:rPr>
          <w:color w:val="000000"/>
          <w:sz w:val="24"/>
          <w:szCs w:val="24"/>
          <w:lang w:val="en-GB"/>
        </w:rPr>
        <w:t>(</w:t>
      </w:r>
      <w:r w:rsidRPr="00285CC7">
        <w:rPr>
          <w:color w:val="000000"/>
          <w:sz w:val="24"/>
          <w:szCs w:val="24"/>
          <w:lang w:val="en-GB"/>
        </w:rPr>
        <w:t>1994</w:t>
      </w:r>
      <w:r w:rsidR="005D6773" w:rsidRPr="00285CC7">
        <w:rPr>
          <w:color w:val="000000"/>
          <w:sz w:val="24"/>
          <w:szCs w:val="24"/>
          <w:lang w:val="en-GB"/>
        </w:rPr>
        <w:t>),</w:t>
      </w:r>
      <w:r w:rsidRPr="00285CC7">
        <w:rPr>
          <w:color w:val="000000"/>
          <w:sz w:val="24"/>
          <w:szCs w:val="24"/>
          <w:lang w:val="en-GB"/>
        </w:rPr>
        <w:t xml:space="preserve"> </w:t>
      </w:r>
      <w:r w:rsidR="005D6773" w:rsidRPr="00285CC7">
        <w:rPr>
          <w:color w:val="000000"/>
          <w:sz w:val="24"/>
          <w:szCs w:val="24"/>
          <w:lang w:val="en-GB"/>
        </w:rPr>
        <w:t>No. </w:t>
      </w:r>
      <w:r w:rsidRPr="00285CC7">
        <w:rPr>
          <w:color w:val="000000"/>
          <w:sz w:val="24"/>
          <w:szCs w:val="24"/>
          <w:lang w:val="en-GB"/>
        </w:rPr>
        <w:t xml:space="preserve">11, </w:t>
      </w:r>
      <w:r w:rsidR="005D6773" w:rsidRPr="00285CC7">
        <w:rPr>
          <w:color w:val="000000"/>
          <w:sz w:val="24"/>
          <w:szCs w:val="24"/>
          <w:lang w:val="en-GB"/>
        </w:rPr>
        <w:t>p</w:t>
      </w:r>
      <w:r w:rsidRPr="00285CC7">
        <w:rPr>
          <w:color w:val="000000"/>
          <w:sz w:val="24"/>
          <w:szCs w:val="24"/>
          <w:lang w:val="en-GB"/>
        </w:rPr>
        <w:t>.</w:t>
      </w:r>
      <w:r w:rsidR="005D6773" w:rsidRPr="00285CC7">
        <w:rPr>
          <w:color w:val="000000"/>
          <w:sz w:val="24"/>
          <w:szCs w:val="24"/>
          <w:lang w:val="en-GB"/>
        </w:rPr>
        <w:t> </w:t>
      </w:r>
      <w:r w:rsidRPr="00285CC7">
        <w:rPr>
          <w:color w:val="000000"/>
          <w:sz w:val="24"/>
          <w:szCs w:val="24"/>
          <w:lang w:val="en-GB"/>
        </w:rPr>
        <w:t>51.</w:t>
      </w:r>
      <w:bookmarkEnd w:id="3"/>
    </w:p>
    <w:p w14:paraId="52A610DD" w14:textId="4C61254F" w:rsidR="00DD62EF" w:rsidRPr="00285CC7" w:rsidRDefault="00F21DDB" w:rsidP="00EA065F">
      <w:pPr>
        <w:shd w:val="clear" w:color="auto" w:fill="FFFFFF"/>
        <w:spacing w:line="360" w:lineRule="auto"/>
        <w:ind w:firstLine="720"/>
        <w:jc w:val="both"/>
        <w:rPr>
          <w:color w:val="000000"/>
          <w:lang w:val="en-GB"/>
        </w:rPr>
      </w:pPr>
      <w:r w:rsidRPr="00285CC7">
        <w:rPr>
          <w:color w:val="000000"/>
          <w:lang w:val="en-GB"/>
        </w:rPr>
        <w:t>8.</w:t>
      </w:r>
      <w:r w:rsidR="001D5005" w:rsidRPr="00285CC7">
        <w:rPr>
          <w:color w:val="000000"/>
          <w:lang w:val="en-GB"/>
        </w:rPr>
        <w:tab/>
      </w:r>
      <w:r w:rsidRPr="00285CC7">
        <w:rPr>
          <w:iCs/>
          <w:color w:val="000000"/>
          <w:lang w:val="en-GB"/>
        </w:rPr>
        <w:t>On State Protection of Judicial and Law Enforcement Employees</w:t>
      </w:r>
      <w:r w:rsidR="001D5005" w:rsidRPr="00285CC7">
        <w:rPr>
          <w:iCs/>
          <w:color w:val="000000"/>
          <w:lang w:val="en-GB"/>
        </w:rPr>
        <w:t>, t</w:t>
      </w:r>
      <w:r w:rsidRPr="00285CC7">
        <w:rPr>
          <w:iCs/>
          <w:color w:val="000000"/>
          <w:lang w:val="en-GB"/>
        </w:rPr>
        <w:t>he Law of Ukraine No. 3781-ХІІ dated 23 December 1993</w:t>
      </w:r>
      <w:r w:rsidR="001D5005" w:rsidRPr="00285CC7">
        <w:rPr>
          <w:color w:val="000000"/>
          <w:lang w:val="en-GB"/>
        </w:rPr>
        <w:t>, in</w:t>
      </w:r>
      <w:r w:rsidRPr="00285CC7">
        <w:rPr>
          <w:color w:val="000000"/>
          <w:lang w:val="en-GB"/>
        </w:rPr>
        <w:t xml:space="preserve"> </w:t>
      </w:r>
      <w:r w:rsidRPr="00285CC7">
        <w:rPr>
          <w:iCs/>
          <w:color w:val="000000"/>
          <w:lang w:val="en-GB"/>
        </w:rPr>
        <w:t xml:space="preserve">Official Bulletin of the </w:t>
      </w:r>
      <w:proofErr w:type="spellStart"/>
      <w:r w:rsidRPr="00285CC7">
        <w:rPr>
          <w:iCs/>
          <w:color w:val="000000"/>
          <w:lang w:val="en-GB"/>
        </w:rPr>
        <w:t>Verkhovna</w:t>
      </w:r>
      <w:proofErr w:type="spellEnd"/>
      <w:r w:rsidRPr="00285CC7">
        <w:rPr>
          <w:iCs/>
          <w:color w:val="000000"/>
          <w:lang w:val="en-GB"/>
        </w:rPr>
        <w:t xml:space="preserve"> </w:t>
      </w:r>
      <w:proofErr w:type="spellStart"/>
      <w:r w:rsidRPr="00285CC7">
        <w:rPr>
          <w:iCs/>
          <w:color w:val="000000"/>
          <w:lang w:val="en-GB"/>
        </w:rPr>
        <w:t>Rada</w:t>
      </w:r>
      <w:proofErr w:type="spellEnd"/>
      <w:r w:rsidRPr="00285CC7">
        <w:rPr>
          <w:iCs/>
          <w:color w:val="000000"/>
          <w:lang w:val="en-GB"/>
        </w:rPr>
        <w:t xml:space="preserve"> of Ukraine</w:t>
      </w:r>
      <w:r w:rsidR="001D5005" w:rsidRPr="00285CC7">
        <w:rPr>
          <w:color w:val="000000"/>
          <w:lang w:val="en-GB"/>
        </w:rPr>
        <w:t xml:space="preserve"> (1994), No. 11, p. 5</w:t>
      </w:r>
      <w:r w:rsidRPr="00285CC7">
        <w:rPr>
          <w:color w:val="000000"/>
          <w:lang w:val="en-GB"/>
        </w:rPr>
        <w:t>0.</w:t>
      </w:r>
    </w:p>
    <w:p w14:paraId="3B48CAFD" w14:textId="2DFE7025" w:rsidR="00DD62EF" w:rsidRDefault="00F21DDB" w:rsidP="00A9682A">
      <w:pPr>
        <w:pStyle w:val="a6"/>
        <w:spacing w:line="360" w:lineRule="auto"/>
        <w:ind w:right="0"/>
        <w:rPr>
          <w:color w:val="000000"/>
          <w:sz w:val="24"/>
          <w:szCs w:val="24"/>
        </w:rPr>
      </w:pPr>
      <w:r w:rsidRPr="00285CC7">
        <w:rPr>
          <w:color w:val="000000"/>
          <w:sz w:val="24"/>
          <w:szCs w:val="24"/>
          <w:lang w:val="en-GB"/>
        </w:rPr>
        <w:t>9.</w:t>
      </w:r>
      <w:r w:rsidR="001D5005" w:rsidRPr="00285CC7">
        <w:rPr>
          <w:color w:val="000000"/>
          <w:sz w:val="24"/>
          <w:szCs w:val="24"/>
          <w:lang w:val="en-GB"/>
        </w:rPr>
        <w:tab/>
      </w:r>
      <w:proofErr w:type="spellStart"/>
      <w:r w:rsidR="0085519A" w:rsidRPr="0085519A">
        <w:rPr>
          <w:i/>
          <w:color w:val="000000"/>
          <w:sz w:val="24"/>
          <w:szCs w:val="24"/>
          <w:lang w:val="en-GB"/>
        </w:rPr>
        <w:t>Repeshko</w:t>
      </w:r>
      <w:proofErr w:type="spellEnd"/>
      <w:r w:rsidR="0085519A" w:rsidRPr="00840876">
        <w:rPr>
          <w:i/>
          <w:color w:val="000000"/>
          <w:sz w:val="24"/>
          <w:szCs w:val="24"/>
          <w:lang w:val="en-US"/>
        </w:rPr>
        <w:t xml:space="preserve"> </w:t>
      </w:r>
      <w:r w:rsidR="005D6773" w:rsidRPr="00285CC7">
        <w:rPr>
          <w:i/>
          <w:color w:val="000000"/>
          <w:sz w:val="24"/>
          <w:szCs w:val="24"/>
          <w:lang w:val="en-GB"/>
        </w:rPr>
        <w:t>P. I. </w:t>
      </w:r>
      <w:r w:rsidRPr="00285CC7">
        <w:rPr>
          <w:color w:val="000000"/>
          <w:sz w:val="24"/>
          <w:szCs w:val="24"/>
          <w:lang w:val="en-GB"/>
        </w:rPr>
        <w:t xml:space="preserve"> </w:t>
      </w:r>
      <w:r w:rsidR="005D6773" w:rsidRPr="00285CC7">
        <w:rPr>
          <w:iCs/>
          <w:color w:val="000000"/>
          <w:sz w:val="24"/>
          <w:szCs w:val="24"/>
          <w:lang w:val="en-GB"/>
        </w:rPr>
        <w:t>On the Matter of Protecting Forensic Experts in Ukraine’s Criminal Process:</w:t>
      </w:r>
      <w:r w:rsidRPr="00285CC7">
        <w:rPr>
          <w:iCs/>
          <w:color w:val="000000"/>
          <w:sz w:val="24"/>
          <w:szCs w:val="24"/>
          <w:lang w:val="en-GB"/>
        </w:rPr>
        <w:t xml:space="preserve"> </w:t>
      </w:r>
      <w:r w:rsidR="005D6773" w:rsidRPr="00285CC7">
        <w:rPr>
          <w:iCs/>
          <w:color w:val="000000"/>
          <w:sz w:val="24"/>
          <w:szCs w:val="24"/>
          <w:lang w:val="en-GB"/>
        </w:rPr>
        <w:t>Topical Policy Issues</w:t>
      </w:r>
      <w:r w:rsidR="005D6773" w:rsidRPr="00285CC7">
        <w:rPr>
          <w:color w:val="000000"/>
          <w:sz w:val="24"/>
          <w:szCs w:val="24"/>
          <w:lang w:val="en-GB"/>
        </w:rPr>
        <w:t xml:space="preserve">, in </w:t>
      </w:r>
      <w:r w:rsidR="005D6773" w:rsidRPr="00285CC7">
        <w:rPr>
          <w:iCs/>
          <w:color w:val="000000"/>
          <w:sz w:val="24"/>
          <w:szCs w:val="24"/>
          <w:lang w:val="en-GB"/>
        </w:rPr>
        <w:t>Collected Papers of the Odessa State Law Academy</w:t>
      </w:r>
      <w:r w:rsidRPr="00285CC7">
        <w:rPr>
          <w:color w:val="000000"/>
          <w:sz w:val="24"/>
          <w:szCs w:val="24"/>
          <w:lang w:val="en-GB"/>
        </w:rPr>
        <w:t xml:space="preserve"> </w:t>
      </w:r>
      <w:r w:rsidR="005D6773" w:rsidRPr="00285CC7">
        <w:rPr>
          <w:color w:val="000000"/>
          <w:sz w:val="24"/>
          <w:szCs w:val="24"/>
          <w:lang w:val="en-GB"/>
        </w:rPr>
        <w:t>(</w:t>
      </w:r>
      <w:proofErr w:type="spellStart"/>
      <w:r w:rsidR="005D6773" w:rsidRPr="00285CC7">
        <w:rPr>
          <w:color w:val="000000"/>
          <w:sz w:val="24"/>
          <w:szCs w:val="24"/>
          <w:lang w:val="en-GB"/>
        </w:rPr>
        <w:t>Odesa</w:t>
      </w:r>
      <w:proofErr w:type="spellEnd"/>
      <w:r w:rsidRPr="00285CC7">
        <w:rPr>
          <w:color w:val="000000"/>
          <w:sz w:val="24"/>
          <w:szCs w:val="24"/>
          <w:lang w:val="en-GB"/>
        </w:rPr>
        <w:t>, 2004</w:t>
      </w:r>
      <w:r w:rsidR="005D6773" w:rsidRPr="00285CC7">
        <w:rPr>
          <w:color w:val="000000"/>
          <w:sz w:val="24"/>
          <w:szCs w:val="24"/>
          <w:lang w:val="en-GB"/>
        </w:rPr>
        <w:t>)</w:t>
      </w:r>
      <w:r w:rsidRPr="00285CC7">
        <w:rPr>
          <w:color w:val="000000"/>
          <w:sz w:val="24"/>
          <w:szCs w:val="24"/>
          <w:lang w:val="en-GB"/>
        </w:rPr>
        <w:t xml:space="preserve">, </w:t>
      </w:r>
      <w:r w:rsidR="001D5005" w:rsidRPr="00285CC7">
        <w:rPr>
          <w:color w:val="000000"/>
          <w:sz w:val="24"/>
          <w:szCs w:val="24"/>
          <w:lang w:val="en-GB"/>
        </w:rPr>
        <w:t>No. </w:t>
      </w:r>
      <w:r w:rsidRPr="00285CC7">
        <w:rPr>
          <w:color w:val="000000"/>
          <w:sz w:val="24"/>
          <w:szCs w:val="24"/>
          <w:lang w:val="en-GB"/>
        </w:rPr>
        <w:t xml:space="preserve">21, </w:t>
      </w:r>
      <w:r w:rsidR="001D5005" w:rsidRPr="00285CC7">
        <w:rPr>
          <w:color w:val="000000"/>
          <w:sz w:val="24"/>
          <w:szCs w:val="24"/>
          <w:lang w:val="en-GB"/>
        </w:rPr>
        <w:t>pp</w:t>
      </w:r>
      <w:r w:rsidRPr="00285CC7">
        <w:rPr>
          <w:color w:val="000000"/>
          <w:sz w:val="24"/>
          <w:szCs w:val="24"/>
          <w:lang w:val="en-GB"/>
        </w:rPr>
        <w:t>.</w:t>
      </w:r>
      <w:r w:rsidR="001D5005" w:rsidRPr="00285CC7">
        <w:rPr>
          <w:color w:val="000000"/>
          <w:sz w:val="24"/>
          <w:szCs w:val="24"/>
          <w:lang w:val="en-GB"/>
        </w:rPr>
        <w:t> </w:t>
      </w:r>
      <w:r w:rsidRPr="00285CC7">
        <w:rPr>
          <w:color w:val="000000"/>
          <w:sz w:val="24"/>
          <w:szCs w:val="24"/>
          <w:lang w:val="en-GB"/>
        </w:rPr>
        <w:t>202</w:t>
      </w:r>
      <w:r w:rsidR="001D5005" w:rsidRPr="00285CC7">
        <w:rPr>
          <w:color w:val="000000"/>
          <w:sz w:val="24"/>
          <w:szCs w:val="24"/>
          <w:lang w:val="en-GB"/>
        </w:rPr>
        <w:t>–</w:t>
      </w:r>
      <w:r w:rsidRPr="00285CC7">
        <w:rPr>
          <w:color w:val="000000"/>
          <w:sz w:val="24"/>
          <w:szCs w:val="24"/>
          <w:lang w:val="en-GB"/>
        </w:rPr>
        <w:t>204.</w:t>
      </w:r>
    </w:p>
    <w:p w14:paraId="241C5CAC" w14:textId="194B3DDD" w:rsidR="00141DB2" w:rsidRDefault="00141DB2" w:rsidP="00A9682A">
      <w:pPr>
        <w:pStyle w:val="a6"/>
        <w:spacing w:line="360" w:lineRule="auto"/>
        <w:ind w:right="0"/>
        <w:rPr>
          <w:color w:val="000000"/>
          <w:sz w:val="24"/>
          <w:szCs w:val="24"/>
        </w:rPr>
      </w:pPr>
      <w:r>
        <w:rPr>
          <w:color w:val="000000"/>
          <w:sz w:val="24"/>
          <w:szCs w:val="24"/>
        </w:rPr>
        <w:t>10.</w:t>
      </w:r>
      <w:r w:rsidR="00B00DAF">
        <w:rPr>
          <w:color w:val="000000"/>
          <w:sz w:val="24"/>
          <w:szCs w:val="24"/>
        </w:rPr>
        <w:t xml:space="preserve"> </w:t>
      </w:r>
      <w:r w:rsidR="00B00DAF" w:rsidRPr="00C823F6">
        <w:rPr>
          <w:color w:val="000000"/>
          <w:sz w:val="24"/>
          <w:szCs w:val="24"/>
          <w:lang w:val="en-US"/>
        </w:rPr>
        <w:t>Forensic experts' mistakes: theoretical and practical aspects.</w:t>
      </w:r>
      <w:r w:rsidR="00B00DAF">
        <w:rPr>
          <w:color w:val="000000"/>
          <w:sz w:val="24"/>
          <w:szCs w:val="24"/>
        </w:rPr>
        <w:t xml:space="preserve"> </w:t>
      </w:r>
      <w:r w:rsidR="00B00DAF" w:rsidRPr="00B00DAF">
        <w:rPr>
          <w:color w:val="000000"/>
          <w:sz w:val="24"/>
          <w:szCs w:val="24"/>
        </w:rPr>
        <w:t>URL:</w:t>
      </w:r>
      <w:r w:rsidR="00B00DAF">
        <w:rPr>
          <w:color w:val="000000"/>
          <w:sz w:val="24"/>
          <w:szCs w:val="24"/>
        </w:rPr>
        <w:t xml:space="preserve"> </w:t>
      </w:r>
      <w:r>
        <w:rPr>
          <w:color w:val="000000"/>
          <w:sz w:val="24"/>
          <w:szCs w:val="24"/>
        </w:rPr>
        <w:t xml:space="preserve"> </w:t>
      </w:r>
      <w:hyperlink r:id="rId12" w:history="1">
        <w:r w:rsidR="00C823F6" w:rsidRPr="004D61B4">
          <w:rPr>
            <w:rStyle w:val="a9"/>
            <w:sz w:val="24"/>
            <w:szCs w:val="24"/>
          </w:rPr>
          <w:t>https://doi.org/10.32370/online/2019_03_25_2</w:t>
        </w:r>
      </w:hyperlink>
      <w:r w:rsidR="00C823F6">
        <w:rPr>
          <w:color w:val="000000"/>
          <w:sz w:val="24"/>
          <w:szCs w:val="24"/>
        </w:rPr>
        <w:t xml:space="preserve"> </w:t>
      </w:r>
    </w:p>
    <w:p w14:paraId="04FDD8E1" w14:textId="22945B99" w:rsidR="00141DB2" w:rsidRPr="00141DB2" w:rsidRDefault="00141DB2" w:rsidP="00A9682A">
      <w:pPr>
        <w:pStyle w:val="a6"/>
        <w:spacing w:line="360" w:lineRule="auto"/>
        <w:ind w:right="0"/>
        <w:rPr>
          <w:color w:val="000000"/>
          <w:sz w:val="24"/>
          <w:szCs w:val="24"/>
        </w:rPr>
      </w:pPr>
      <w:r>
        <w:rPr>
          <w:color w:val="000000"/>
          <w:sz w:val="24"/>
          <w:szCs w:val="24"/>
        </w:rPr>
        <w:t xml:space="preserve">11. </w:t>
      </w:r>
      <w:proofErr w:type="gramStart"/>
      <w:r w:rsidR="00345C5C" w:rsidRPr="00345C5C">
        <w:rPr>
          <w:color w:val="000000"/>
          <w:sz w:val="24"/>
          <w:szCs w:val="24"/>
          <w:lang w:val="en-US"/>
        </w:rPr>
        <w:t>"Lost opportunities" of preliminary researches in the conditions of the current Criminal Procedure Code of Ukraine</w:t>
      </w:r>
      <w:r w:rsidR="00345C5C" w:rsidRPr="00345C5C">
        <w:rPr>
          <w:color w:val="000000"/>
          <w:sz w:val="24"/>
          <w:szCs w:val="24"/>
        </w:rPr>
        <w:t>.</w:t>
      </w:r>
      <w:proofErr w:type="gramEnd"/>
      <w:r w:rsidR="00345C5C" w:rsidRPr="00345C5C">
        <w:rPr>
          <w:color w:val="000000"/>
          <w:sz w:val="24"/>
          <w:szCs w:val="24"/>
        </w:rPr>
        <w:t xml:space="preserve"> </w:t>
      </w:r>
      <w:r w:rsidR="00B00DAF" w:rsidRPr="00B00DAF">
        <w:rPr>
          <w:color w:val="000000"/>
          <w:sz w:val="24"/>
          <w:szCs w:val="24"/>
        </w:rPr>
        <w:t>URL:</w:t>
      </w:r>
      <w:r w:rsidR="00B00DAF">
        <w:rPr>
          <w:color w:val="000000"/>
          <w:sz w:val="24"/>
          <w:szCs w:val="24"/>
        </w:rPr>
        <w:t xml:space="preserve"> </w:t>
      </w:r>
      <w:r>
        <w:rPr>
          <w:color w:val="000000"/>
          <w:sz w:val="24"/>
          <w:szCs w:val="24"/>
        </w:rPr>
        <w:fldChar w:fldCharType="begin"/>
      </w:r>
      <w:r>
        <w:rPr>
          <w:color w:val="000000"/>
          <w:sz w:val="24"/>
          <w:szCs w:val="24"/>
        </w:rPr>
        <w:instrText xml:space="preserve"> HYPERLINK "</w:instrText>
      </w:r>
      <w:r w:rsidRPr="00141DB2">
        <w:rPr>
          <w:color w:val="000000"/>
          <w:sz w:val="24"/>
          <w:szCs w:val="24"/>
        </w:rPr>
        <w:instrText xml:space="preserve">http://elar.naiau.kiev.ua/jspui/handle/123456789/9567 </w:instrText>
      </w:r>
    </w:p>
    <w:p w14:paraId="1975D7D4" w14:textId="77777777" w:rsidR="00141DB2" w:rsidRPr="004D61B4" w:rsidRDefault="00141DB2" w:rsidP="00A9682A">
      <w:pPr>
        <w:pStyle w:val="a6"/>
        <w:spacing w:line="360" w:lineRule="auto"/>
        <w:ind w:right="0"/>
        <w:rPr>
          <w:rStyle w:val="a9"/>
          <w:sz w:val="24"/>
          <w:szCs w:val="24"/>
        </w:rPr>
      </w:pPr>
      <w:r>
        <w:rPr>
          <w:color w:val="000000"/>
          <w:sz w:val="24"/>
          <w:szCs w:val="24"/>
        </w:rPr>
        <w:instrText xml:space="preserve">" </w:instrText>
      </w:r>
      <w:r>
        <w:rPr>
          <w:color w:val="000000"/>
          <w:sz w:val="24"/>
          <w:szCs w:val="24"/>
        </w:rPr>
        <w:fldChar w:fldCharType="separate"/>
      </w:r>
      <w:r w:rsidRPr="004D61B4">
        <w:rPr>
          <w:rStyle w:val="a9"/>
          <w:sz w:val="24"/>
          <w:szCs w:val="24"/>
        </w:rPr>
        <w:t xml:space="preserve">http://elar.naiau.kiev.ua/jspui/handle/123456789/9567 </w:t>
      </w:r>
    </w:p>
    <w:p w14:paraId="76793200" w14:textId="3DE03F30" w:rsidR="00141DB2" w:rsidRPr="00141DB2" w:rsidRDefault="00141DB2" w:rsidP="00A9682A">
      <w:pPr>
        <w:pStyle w:val="a6"/>
        <w:spacing w:line="360" w:lineRule="auto"/>
        <w:ind w:right="0"/>
        <w:rPr>
          <w:color w:val="000000"/>
          <w:sz w:val="24"/>
          <w:szCs w:val="24"/>
        </w:rPr>
      </w:pPr>
      <w:r>
        <w:rPr>
          <w:color w:val="000000"/>
          <w:sz w:val="24"/>
          <w:szCs w:val="24"/>
        </w:rPr>
        <w:fldChar w:fldCharType="end"/>
      </w:r>
      <w:r>
        <w:rPr>
          <w:color w:val="000000"/>
          <w:sz w:val="24"/>
          <w:szCs w:val="24"/>
        </w:rPr>
        <w:t xml:space="preserve">12. </w:t>
      </w:r>
      <w:proofErr w:type="gramStart"/>
      <w:r w:rsidR="00345C5C" w:rsidRPr="00345C5C">
        <w:rPr>
          <w:color w:val="000000"/>
          <w:sz w:val="24"/>
          <w:szCs w:val="24"/>
          <w:lang w:val="en-US"/>
        </w:rPr>
        <w:t>Analytical reference to the project of the Law of Ukraine “About amendments to the Criminal Procedure Code of Ukraine on the Procedure for Appointment of Expertise”.</w:t>
      </w:r>
      <w:proofErr w:type="gramEnd"/>
      <w:r w:rsidR="00345C5C">
        <w:rPr>
          <w:color w:val="000000"/>
          <w:sz w:val="24"/>
          <w:szCs w:val="24"/>
        </w:rPr>
        <w:t xml:space="preserve"> </w:t>
      </w:r>
      <w:r w:rsidRPr="00141DB2">
        <w:rPr>
          <w:color w:val="000000"/>
          <w:sz w:val="24"/>
          <w:szCs w:val="24"/>
        </w:rPr>
        <w:t xml:space="preserve">URL: </w:t>
      </w:r>
      <w:hyperlink r:id="rId13" w:history="1">
        <w:r w:rsidRPr="004D61B4">
          <w:rPr>
            <w:rStyle w:val="a9"/>
            <w:sz w:val="24"/>
            <w:szCs w:val="24"/>
          </w:rPr>
          <w:t>http://bsm.com.ua/2011-08-07-02-51-49/item/200-biznes-i-bezopasnost-3-2018</w:t>
        </w:r>
      </w:hyperlink>
      <w:r>
        <w:rPr>
          <w:color w:val="000000"/>
          <w:sz w:val="24"/>
          <w:szCs w:val="24"/>
        </w:rPr>
        <w:t xml:space="preserve"> </w:t>
      </w:r>
    </w:p>
    <w:sectPr w:rsidR="00141DB2" w:rsidRPr="00141DB2" w:rsidSect="00BC54E8">
      <w:headerReference w:type="even" r:id="rId14"/>
      <w:headerReference w:type="default" r:id="rId1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1C4D80" w14:textId="77777777" w:rsidR="00FA0F47" w:rsidRDefault="00FA0F47">
      <w:r>
        <w:separator/>
      </w:r>
    </w:p>
  </w:endnote>
  <w:endnote w:type="continuationSeparator" w:id="0">
    <w:p w14:paraId="09E6B6C9" w14:textId="77777777" w:rsidR="00FA0F47" w:rsidRDefault="00FA0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2E82A5" w14:textId="77777777" w:rsidR="00FA0F47" w:rsidRDefault="00FA0F47">
      <w:r>
        <w:separator/>
      </w:r>
    </w:p>
  </w:footnote>
  <w:footnote w:type="continuationSeparator" w:id="0">
    <w:p w14:paraId="44BC50D6" w14:textId="77777777" w:rsidR="00FA0F47" w:rsidRDefault="00FA0F47">
      <w:r>
        <w:continuationSeparator/>
      </w:r>
    </w:p>
  </w:footnote>
  <w:footnote w:id="1">
    <w:p w14:paraId="56BA4D28" w14:textId="77777777" w:rsidR="00E67EC5" w:rsidRPr="003C6B41" w:rsidRDefault="00E67EC5" w:rsidP="00E67EC5">
      <w:pPr>
        <w:pStyle w:val="a7"/>
        <w:jc w:val="both"/>
        <w:rPr>
          <w:lang w:val="en-US"/>
        </w:rPr>
      </w:pPr>
      <w:r>
        <w:rPr>
          <w:rStyle w:val="a8"/>
        </w:rPr>
        <w:footnoteRef/>
      </w:r>
      <w:r w:rsidRPr="003C6B41">
        <w:rPr>
          <w:lang w:val="en-US"/>
        </w:rPr>
        <w:t xml:space="preserve"> These CPCU provisions were in force in their previous revision until 01/12/2013.</w:t>
      </w:r>
      <w:r>
        <w:rPr>
          <w:lang w:val="en-US"/>
        </w:rPr>
        <w:t xml:space="preserve"> </w:t>
      </w:r>
      <w:r w:rsidRPr="003C6B41">
        <w:rPr>
          <w:lang w:val="en-US"/>
        </w:rPr>
        <w:t>We believe that they still retain their relevance.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8A23DE" w14:textId="77777777" w:rsidR="004B54C3" w:rsidRDefault="004B54C3" w:rsidP="009505A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4E8EB292" w14:textId="77777777" w:rsidR="004B54C3" w:rsidRDefault="004B54C3" w:rsidP="00C520C8">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ADBF6E" w14:textId="66AEBB81" w:rsidR="004B54C3" w:rsidRPr="00C520C8" w:rsidRDefault="004B54C3" w:rsidP="009505A2">
    <w:pPr>
      <w:pStyle w:val="a3"/>
      <w:framePr w:wrap="around" w:vAnchor="text" w:hAnchor="margin" w:xAlign="right" w:y="1"/>
      <w:rPr>
        <w:rStyle w:val="a4"/>
        <w:sz w:val="18"/>
        <w:szCs w:val="18"/>
      </w:rPr>
    </w:pPr>
    <w:r w:rsidRPr="00C520C8">
      <w:rPr>
        <w:rStyle w:val="a4"/>
        <w:sz w:val="18"/>
        <w:szCs w:val="18"/>
      </w:rPr>
      <w:fldChar w:fldCharType="begin"/>
    </w:r>
    <w:r w:rsidRPr="00C520C8">
      <w:rPr>
        <w:rStyle w:val="a4"/>
        <w:sz w:val="18"/>
        <w:szCs w:val="18"/>
      </w:rPr>
      <w:instrText xml:space="preserve">PAGE  </w:instrText>
    </w:r>
    <w:r w:rsidRPr="00C520C8">
      <w:rPr>
        <w:rStyle w:val="a4"/>
        <w:sz w:val="18"/>
        <w:szCs w:val="18"/>
      </w:rPr>
      <w:fldChar w:fldCharType="separate"/>
    </w:r>
    <w:r w:rsidR="00A941B5">
      <w:rPr>
        <w:rStyle w:val="a4"/>
        <w:noProof/>
        <w:sz w:val="18"/>
        <w:szCs w:val="18"/>
      </w:rPr>
      <w:t>5</w:t>
    </w:r>
    <w:r w:rsidRPr="00C520C8">
      <w:rPr>
        <w:rStyle w:val="a4"/>
        <w:sz w:val="18"/>
        <w:szCs w:val="18"/>
      </w:rPr>
      <w:fldChar w:fldCharType="end"/>
    </w:r>
  </w:p>
  <w:p w14:paraId="4895DCC4" w14:textId="77777777" w:rsidR="004B54C3" w:rsidRPr="00C520C8" w:rsidRDefault="004B54C3" w:rsidP="00C520C8">
    <w:pPr>
      <w:pStyle w:val="a3"/>
      <w:ind w:right="360"/>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8098B"/>
    <w:multiLevelType w:val="hybridMultilevel"/>
    <w:tmpl w:val="C3285D9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nsid w:val="3402693A"/>
    <w:multiLevelType w:val="singleLevel"/>
    <w:tmpl w:val="211E0778"/>
    <w:lvl w:ilvl="0">
      <w:start w:val="1"/>
      <w:numFmt w:val="decimal"/>
      <w:lvlText w:val="%1."/>
      <w:legacy w:legacy="1" w:legacySpace="0" w:legacyIndent="198"/>
      <w:lvlJc w:val="left"/>
      <w:pPr>
        <w:ind w:left="0" w:firstLine="0"/>
      </w:pPr>
      <w:rPr>
        <w:rFonts w:ascii="Times New Roman" w:hAnsi="Times New Roman" w:cs="Times New Roman" w:hint="default"/>
      </w:rPr>
    </w:lvl>
  </w:abstractNum>
  <w:num w:numId="1">
    <w:abstractNumId w:val="1"/>
    <w:lvlOverride w:ilvl="0">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0C8"/>
    <w:rsid w:val="00015698"/>
    <w:rsid w:val="00030CDD"/>
    <w:rsid w:val="00042808"/>
    <w:rsid w:val="00062727"/>
    <w:rsid w:val="000B035A"/>
    <w:rsid w:val="000C561B"/>
    <w:rsid w:val="00125247"/>
    <w:rsid w:val="00141DB2"/>
    <w:rsid w:val="00165DA9"/>
    <w:rsid w:val="00166E7B"/>
    <w:rsid w:val="00170F19"/>
    <w:rsid w:val="001C463F"/>
    <w:rsid w:val="001D5005"/>
    <w:rsid w:val="001E02BF"/>
    <w:rsid w:val="002165CD"/>
    <w:rsid w:val="00250042"/>
    <w:rsid w:val="00265ABF"/>
    <w:rsid w:val="00266290"/>
    <w:rsid w:val="0028077A"/>
    <w:rsid w:val="00282768"/>
    <w:rsid w:val="00285CC7"/>
    <w:rsid w:val="002931CC"/>
    <w:rsid w:val="002A04EC"/>
    <w:rsid w:val="002C7A9F"/>
    <w:rsid w:val="002E14E4"/>
    <w:rsid w:val="00301CC9"/>
    <w:rsid w:val="00316220"/>
    <w:rsid w:val="00325178"/>
    <w:rsid w:val="00342B58"/>
    <w:rsid w:val="00345C5C"/>
    <w:rsid w:val="003559FD"/>
    <w:rsid w:val="003579C4"/>
    <w:rsid w:val="00376AC8"/>
    <w:rsid w:val="00391EAC"/>
    <w:rsid w:val="003B28D6"/>
    <w:rsid w:val="003C601D"/>
    <w:rsid w:val="003C6B41"/>
    <w:rsid w:val="00440078"/>
    <w:rsid w:val="004452A8"/>
    <w:rsid w:val="004466C5"/>
    <w:rsid w:val="0045498C"/>
    <w:rsid w:val="00456B28"/>
    <w:rsid w:val="004651E1"/>
    <w:rsid w:val="004B48B4"/>
    <w:rsid w:val="004B54C3"/>
    <w:rsid w:val="004D2183"/>
    <w:rsid w:val="004D4293"/>
    <w:rsid w:val="004D5656"/>
    <w:rsid w:val="005036BE"/>
    <w:rsid w:val="00525A7D"/>
    <w:rsid w:val="00530275"/>
    <w:rsid w:val="00553931"/>
    <w:rsid w:val="00574021"/>
    <w:rsid w:val="00574770"/>
    <w:rsid w:val="00582233"/>
    <w:rsid w:val="005B3599"/>
    <w:rsid w:val="005D6773"/>
    <w:rsid w:val="005E17DC"/>
    <w:rsid w:val="005F3C76"/>
    <w:rsid w:val="00613C82"/>
    <w:rsid w:val="006A2515"/>
    <w:rsid w:val="006A491B"/>
    <w:rsid w:val="006B0B08"/>
    <w:rsid w:val="006B4B37"/>
    <w:rsid w:val="006C3658"/>
    <w:rsid w:val="006D4E98"/>
    <w:rsid w:val="006D743C"/>
    <w:rsid w:val="006D79F6"/>
    <w:rsid w:val="006E622C"/>
    <w:rsid w:val="006F2B5C"/>
    <w:rsid w:val="006F3B59"/>
    <w:rsid w:val="006F6BEF"/>
    <w:rsid w:val="00706207"/>
    <w:rsid w:val="007076C6"/>
    <w:rsid w:val="00736BE7"/>
    <w:rsid w:val="007403F7"/>
    <w:rsid w:val="00776987"/>
    <w:rsid w:val="007A0D06"/>
    <w:rsid w:val="007A7E0B"/>
    <w:rsid w:val="007B2BAD"/>
    <w:rsid w:val="007C0897"/>
    <w:rsid w:val="007D1808"/>
    <w:rsid w:val="007F1A3B"/>
    <w:rsid w:val="00810B5C"/>
    <w:rsid w:val="00837C02"/>
    <w:rsid w:val="00840876"/>
    <w:rsid w:val="00851996"/>
    <w:rsid w:val="0085519A"/>
    <w:rsid w:val="0086454F"/>
    <w:rsid w:val="008813E1"/>
    <w:rsid w:val="008A403A"/>
    <w:rsid w:val="008A59FD"/>
    <w:rsid w:val="008B4555"/>
    <w:rsid w:val="008E419B"/>
    <w:rsid w:val="0090567E"/>
    <w:rsid w:val="0093159F"/>
    <w:rsid w:val="009505A2"/>
    <w:rsid w:val="00963F08"/>
    <w:rsid w:val="00996742"/>
    <w:rsid w:val="009A224E"/>
    <w:rsid w:val="009C054A"/>
    <w:rsid w:val="009D2B94"/>
    <w:rsid w:val="009E1A35"/>
    <w:rsid w:val="009F676C"/>
    <w:rsid w:val="00A066AD"/>
    <w:rsid w:val="00A47D3C"/>
    <w:rsid w:val="00A5296C"/>
    <w:rsid w:val="00A61BDD"/>
    <w:rsid w:val="00A836D8"/>
    <w:rsid w:val="00A941B5"/>
    <w:rsid w:val="00A9682A"/>
    <w:rsid w:val="00AA23EC"/>
    <w:rsid w:val="00AA591C"/>
    <w:rsid w:val="00AB2969"/>
    <w:rsid w:val="00AB5A9F"/>
    <w:rsid w:val="00AE3CD9"/>
    <w:rsid w:val="00AE5091"/>
    <w:rsid w:val="00B00DAF"/>
    <w:rsid w:val="00B35E08"/>
    <w:rsid w:val="00B521A2"/>
    <w:rsid w:val="00B6285A"/>
    <w:rsid w:val="00BA0936"/>
    <w:rsid w:val="00BB6584"/>
    <w:rsid w:val="00BC3E5E"/>
    <w:rsid w:val="00BC54E8"/>
    <w:rsid w:val="00BF75F4"/>
    <w:rsid w:val="00C0220A"/>
    <w:rsid w:val="00C520C8"/>
    <w:rsid w:val="00C552C9"/>
    <w:rsid w:val="00C823F6"/>
    <w:rsid w:val="00C85ECF"/>
    <w:rsid w:val="00CE38DD"/>
    <w:rsid w:val="00CF0DFD"/>
    <w:rsid w:val="00D00DC2"/>
    <w:rsid w:val="00D04650"/>
    <w:rsid w:val="00D05944"/>
    <w:rsid w:val="00D1597E"/>
    <w:rsid w:val="00D276CB"/>
    <w:rsid w:val="00D56CF8"/>
    <w:rsid w:val="00D91D26"/>
    <w:rsid w:val="00DB70B7"/>
    <w:rsid w:val="00DD62EF"/>
    <w:rsid w:val="00DE3246"/>
    <w:rsid w:val="00DF1FFE"/>
    <w:rsid w:val="00E05620"/>
    <w:rsid w:val="00E30DEB"/>
    <w:rsid w:val="00E356D9"/>
    <w:rsid w:val="00E57524"/>
    <w:rsid w:val="00E67EC5"/>
    <w:rsid w:val="00E72DA4"/>
    <w:rsid w:val="00EA065F"/>
    <w:rsid w:val="00EA43BB"/>
    <w:rsid w:val="00EF63EA"/>
    <w:rsid w:val="00F12DDA"/>
    <w:rsid w:val="00F21DDB"/>
    <w:rsid w:val="00F35964"/>
    <w:rsid w:val="00F41154"/>
    <w:rsid w:val="00F61D19"/>
    <w:rsid w:val="00F65554"/>
    <w:rsid w:val="00F920F2"/>
    <w:rsid w:val="00FA0F47"/>
    <w:rsid w:val="00FA2BFD"/>
    <w:rsid w:val="00FB323D"/>
    <w:rsid w:val="00FD39F3"/>
    <w:rsid w:val="00FE5896"/>
    <w:rsid w:val="00FF681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AA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0C8"/>
    <w:rPr>
      <w:sz w:val="24"/>
      <w:szCs w:val="24"/>
      <w:lang w:val="ru-RU" w:eastAsia="ru-RU"/>
    </w:rPr>
  </w:style>
  <w:style w:type="paragraph" w:styleId="3">
    <w:name w:val="heading 3"/>
    <w:basedOn w:val="a"/>
    <w:next w:val="a"/>
    <w:qFormat/>
    <w:rsid w:val="006A2515"/>
    <w:pPr>
      <w:keepNext/>
      <w:widowControl w:val="0"/>
      <w:tabs>
        <w:tab w:val="left" w:pos="720"/>
      </w:tabs>
      <w:ind w:right="566" w:firstLine="1134"/>
      <w:jc w:val="both"/>
      <w:outlineLvl w:val="2"/>
    </w:pPr>
    <w:rPr>
      <w:snapToGrid w:val="0"/>
      <w:sz w:val="28"/>
      <w:szCs w:val="20"/>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520C8"/>
    <w:pPr>
      <w:tabs>
        <w:tab w:val="center" w:pos="4677"/>
        <w:tab w:val="right" w:pos="9355"/>
      </w:tabs>
    </w:pPr>
  </w:style>
  <w:style w:type="character" w:styleId="a4">
    <w:name w:val="page number"/>
    <w:basedOn w:val="a0"/>
    <w:rsid w:val="00C520C8"/>
  </w:style>
  <w:style w:type="paragraph" w:styleId="a5">
    <w:name w:val="footer"/>
    <w:basedOn w:val="a"/>
    <w:rsid w:val="00C520C8"/>
    <w:pPr>
      <w:tabs>
        <w:tab w:val="center" w:pos="4677"/>
        <w:tab w:val="right" w:pos="9355"/>
      </w:tabs>
    </w:pPr>
  </w:style>
  <w:style w:type="paragraph" w:styleId="a6">
    <w:name w:val="Body Text Indent"/>
    <w:basedOn w:val="a"/>
    <w:rsid w:val="006A2515"/>
    <w:pPr>
      <w:widowControl w:val="0"/>
      <w:tabs>
        <w:tab w:val="left" w:pos="720"/>
      </w:tabs>
      <w:ind w:right="566" w:firstLine="720"/>
      <w:jc w:val="both"/>
    </w:pPr>
    <w:rPr>
      <w:snapToGrid w:val="0"/>
      <w:sz w:val="28"/>
      <w:szCs w:val="20"/>
      <w:lang w:val="uk-UA"/>
    </w:rPr>
  </w:style>
  <w:style w:type="paragraph" w:styleId="a7">
    <w:name w:val="footnote text"/>
    <w:basedOn w:val="a"/>
    <w:semiHidden/>
    <w:rsid w:val="00125247"/>
    <w:rPr>
      <w:sz w:val="20"/>
      <w:szCs w:val="20"/>
    </w:rPr>
  </w:style>
  <w:style w:type="character" w:styleId="a8">
    <w:name w:val="footnote reference"/>
    <w:semiHidden/>
    <w:rsid w:val="00125247"/>
    <w:rPr>
      <w:vertAlign w:val="superscript"/>
    </w:rPr>
  </w:style>
  <w:style w:type="character" w:styleId="a9">
    <w:name w:val="Hyperlink"/>
    <w:rsid w:val="00706207"/>
    <w:rPr>
      <w:color w:val="0000FF"/>
      <w:u w:val="single"/>
    </w:rPr>
  </w:style>
  <w:style w:type="character" w:styleId="aa">
    <w:name w:val="FollowedHyperlink"/>
    <w:basedOn w:val="a0"/>
    <w:semiHidden/>
    <w:unhideWhenUsed/>
    <w:rsid w:val="00C823F6"/>
    <w:rPr>
      <w:color w:val="954F72" w:themeColor="followedHyperlink"/>
      <w:u w:val="single"/>
    </w:rPr>
  </w:style>
  <w:style w:type="paragraph" w:styleId="ab">
    <w:name w:val="Normal (Web)"/>
    <w:basedOn w:val="a"/>
    <w:semiHidden/>
    <w:unhideWhenUsed/>
    <w:rsid w:val="00345C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0C8"/>
    <w:rPr>
      <w:sz w:val="24"/>
      <w:szCs w:val="24"/>
      <w:lang w:val="ru-RU" w:eastAsia="ru-RU"/>
    </w:rPr>
  </w:style>
  <w:style w:type="paragraph" w:styleId="3">
    <w:name w:val="heading 3"/>
    <w:basedOn w:val="a"/>
    <w:next w:val="a"/>
    <w:qFormat/>
    <w:rsid w:val="006A2515"/>
    <w:pPr>
      <w:keepNext/>
      <w:widowControl w:val="0"/>
      <w:tabs>
        <w:tab w:val="left" w:pos="720"/>
      </w:tabs>
      <w:ind w:right="566" w:firstLine="1134"/>
      <w:jc w:val="both"/>
      <w:outlineLvl w:val="2"/>
    </w:pPr>
    <w:rPr>
      <w:snapToGrid w:val="0"/>
      <w:sz w:val="28"/>
      <w:szCs w:val="20"/>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520C8"/>
    <w:pPr>
      <w:tabs>
        <w:tab w:val="center" w:pos="4677"/>
        <w:tab w:val="right" w:pos="9355"/>
      </w:tabs>
    </w:pPr>
  </w:style>
  <w:style w:type="character" w:styleId="a4">
    <w:name w:val="page number"/>
    <w:basedOn w:val="a0"/>
    <w:rsid w:val="00C520C8"/>
  </w:style>
  <w:style w:type="paragraph" w:styleId="a5">
    <w:name w:val="footer"/>
    <w:basedOn w:val="a"/>
    <w:rsid w:val="00C520C8"/>
    <w:pPr>
      <w:tabs>
        <w:tab w:val="center" w:pos="4677"/>
        <w:tab w:val="right" w:pos="9355"/>
      </w:tabs>
    </w:pPr>
  </w:style>
  <w:style w:type="paragraph" w:styleId="a6">
    <w:name w:val="Body Text Indent"/>
    <w:basedOn w:val="a"/>
    <w:rsid w:val="006A2515"/>
    <w:pPr>
      <w:widowControl w:val="0"/>
      <w:tabs>
        <w:tab w:val="left" w:pos="720"/>
      </w:tabs>
      <w:ind w:right="566" w:firstLine="720"/>
      <w:jc w:val="both"/>
    </w:pPr>
    <w:rPr>
      <w:snapToGrid w:val="0"/>
      <w:sz w:val="28"/>
      <w:szCs w:val="20"/>
      <w:lang w:val="uk-UA"/>
    </w:rPr>
  </w:style>
  <w:style w:type="paragraph" w:styleId="a7">
    <w:name w:val="footnote text"/>
    <w:basedOn w:val="a"/>
    <w:semiHidden/>
    <w:rsid w:val="00125247"/>
    <w:rPr>
      <w:sz w:val="20"/>
      <w:szCs w:val="20"/>
    </w:rPr>
  </w:style>
  <w:style w:type="character" w:styleId="a8">
    <w:name w:val="footnote reference"/>
    <w:semiHidden/>
    <w:rsid w:val="00125247"/>
    <w:rPr>
      <w:vertAlign w:val="superscript"/>
    </w:rPr>
  </w:style>
  <w:style w:type="character" w:styleId="a9">
    <w:name w:val="Hyperlink"/>
    <w:rsid w:val="00706207"/>
    <w:rPr>
      <w:color w:val="0000FF"/>
      <w:u w:val="single"/>
    </w:rPr>
  </w:style>
  <w:style w:type="character" w:styleId="aa">
    <w:name w:val="FollowedHyperlink"/>
    <w:basedOn w:val="a0"/>
    <w:semiHidden/>
    <w:unhideWhenUsed/>
    <w:rsid w:val="00C823F6"/>
    <w:rPr>
      <w:color w:val="954F72" w:themeColor="followedHyperlink"/>
      <w:u w:val="single"/>
    </w:rPr>
  </w:style>
  <w:style w:type="paragraph" w:styleId="ab">
    <w:name w:val="Normal (Web)"/>
    <w:basedOn w:val="a"/>
    <w:semiHidden/>
    <w:unhideWhenUsed/>
    <w:rsid w:val="00345C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37899">
      <w:bodyDiv w:val="1"/>
      <w:marLeft w:val="0"/>
      <w:marRight w:val="0"/>
      <w:marTop w:val="0"/>
      <w:marBottom w:val="0"/>
      <w:divBdr>
        <w:top w:val="none" w:sz="0" w:space="0" w:color="auto"/>
        <w:left w:val="none" w:sz="0" w:space="0" w:color="auto"/>
        <w:bottom w:val="none" w:sz="0" w:space="0" w:color="auto"/>
        <w:right w:val="none" w:sz="0" w:space="0" w:color="auto"/>
      </w:divBdr>
    </w:div>
    <w:div w:id="158133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fanov_andrey@ukr.net" TargetMode="External"/><Relationship Id="rId13" Type="http://schemas.openxmlformats.org/officeDocument/2006/relationships/hyperlink" Target="http://bsm.com.ua/2011-08-07-02-51-49/item/200-biznes-i-bezopasnost-3-2018"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i.org/10.32370/online/2019_03_25_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ymchukas@gmail.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protektra@i.ua" TargetMode="External"/><Relationship Id="rId4" Type="http://schemas.openxmlformats.org/officeDocument/2006/relationships/settings" Target="settings.xml"/><Relationship Id="rId9" Type="http://schemas.openxmlformats.org/officeDocument/2006/relationships/hyperlink" Target="mailto:jeechka@ukr.ne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1070</TotalTime>
  <Pages>8</Pages>
  <Words>11074</Words>
  <Characters>6313</Characters>
  <Application>Microsoft Office Word</Application>
  <DocSecurity>0</DocSecurity>
  <Lines>52</Lines>
  <Paragraphs>34</Paragraphs>
  <ScaleCrop>false</ScaleCrop>
  <HeadingPairs>
    <vt:vector size="6" baseType="variant">
      <vt:variant>
        <vt:lpstr>Название</vt:lpstr>
      </vt:variant>
      <vt:variant>
        <vt:i4>1</vt:i4>
      </vt:variant>
      <vt:variant>
        <vt:lpstr>Title</vt:lpstr>
      </vt:variant>
      <vt:variant>
        <vt:i4>1</vt:i4>
      </vt:variant>
      <vt:variant>
        <vt:lpstr>Назва</vt:lpstr>
      </vt:variant>
      <vt:variant>
        <vt:i4>1</vt:i4>
      </vt:variant>
    </vt:vector>
  </HeadingPairs>
  <TitlesOfParts>
    <vt:vector size="3" baseType="lpstr">
      <vt:lpstr>К вопросам оценки судом экспертного заключения и обеспечения безопасности его источника в судопроизводстве</vt:lpstr>
      <vt:lpstr>К вопросам оценки судом экспертного заключения и обеспечения безопасности его источника в судопроизводстве</vt:lpstr>
      <vt:lpstr>К вопросам оценки судом экспертного заключения и обеспечения безопасности его источника в судопроизводстве</vt:lpstr>
    </vt:vector>
  </TitlesOfParts>
  <Company/>
  <LinksUpToDate>false</LinksUpToDate>
  <CharactersWithSpaces>17353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 вопросам оценки судом экспертного заключения и обеспечения безопасности его источника в судопроизводстве</dc:title>
  <dc:subject/>
  <dc:creator>Admin</dc:creator>
  <cp:keywords/>
  <dc:description/>
  <cp:lastModifiedBy>Андрей</cp:lastModifiedBy>
  <cp:revision>42</cp:revision>
  <dcterms:created xsi:type="dcterms:W3CDTF">2019-08-02T13:32:00Z</dcterms:created>
  <dcterms:modified xsi:type="dcterms:W3CDTF">2019-08-28T13:55:00Z</dcterms:modified>
</cp:coreProperties>
</file>