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E34" w:rsidRDefault="00000000">
      <w:pPr>
        <w:spacing w:beforeAutospacing="1" w:afterAutospacing="1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БЕСКОНТАКТНЫЙ РЕЗОНАНСНЫЙ КОНТРОЛЬ КАЧЕСТВА ЖИДКИХ ПРОДУКТОВ ПИТАНИЯ</w:t>
      </w: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</w:p>
    <w:p w:rsidR="00010E34" w:rsidRPr="00617BD0" w:rsidRDefault="00000000">
      <w:pPr>
        <w:spacing w:beforeAutospacing="1" w:afterAutospacing="1" w:line="360" w:lineRule="auto"/>
        <w:ind w:firstLine="720"/>
        <w:contextualSpacing/>
        <w:jc w:val="right"/>
        <w:rPr>
          <w:rFonts w:ascii="Times New Roman" w:hAnsi="Times New Roman"/>
          <w:b/>
          <w:i/>
          <w:sz w:val="28"/>
        </w:rPr>
      </w:pPr>
      <w:proofErr w:type="spellStart"/>
      <w:r w:rsidRPr="00617BD0">
        <w:rPr>
          <w:rFonts w:ascii="Times New Roman" w:hAnsi="Times New Roman"/>
          <w:b/>
          <w:i/>
          <w:sz w:val="28"/>
        </w:rPr>
        <w:t>Бабышин</w:t>
      </w:r>
      <w:proofErr w:type="spellEnd"/>
      <w:r w:rsidRPr="00617BD0">
        <w:rPr>
          <w:rFonts w:ascii="Times New Roman" w:hAnsi="Times New Roman"/>
          <w:b/>
          <w:i/>
          <w:sz w:val="28"/>
        </w:rPr>
        <w:t xml:space="preserve"> Валентин Викторович</w:t>
      </w:r>
    </w:p>
    <w:p w:rsidR="00010E34" w:rsidRPr="00617BD0" w:rsidRDefault="00000000">
      <w:pPr>
        <w:spacing w:beforeAutospacing="1" w:afterAutospacing="1" w:line="360" w:lineRule="auto"/>
        <w:ind w:firstLine="720"/>
        <w:contextualSpacing/>
        <w:jc w:val="right"/>
        <w:rPr>
          <w:rFonts w:ascii="Times New Roman" w:hAnsi="Times New Roman"/>
          <w:b/>
          <w:i/>
          <w:sz w:val="28"/>
        </w:rPr>
      </w:pPr>
      <w:r w:rsidRPr="00617BD0">
        <w:rPr>
          <w:rFonts w:ascii="Times New Roman" w:hAnsi="Times New Roman"/>
          <w:b/>
          <w:i/>
          <w:sz w:val="28"/>
        </w:rPr>
        <w:t>Заслуженный врач РФ</w:t>
      </w:r>
    </w:p>
    <w:p w:rsidR="00010E34" w:rsidRPr="00617BD0" w:rsidRDefault="00000000">
      <w:pPr>
        <w:spacing w:beforeAutospacing="1" w:afterAutospacing="1" w:line="360" w:lineRule="auto"/>
        <w:ind w:firstLine="720"/>
        <w:contextualSpacing/>
        <w:jc w:val="right"/>
        <w:rPr>
          <w:rFonts w:ascii="Times New Roman" w:hAnsi="Times New Roman"/>
          <w:b/>
          <w:i/>
          <w:sz w:val="28"/>
        </w:rPr>
      </w:pPr>
      <w:r w:rsidRPr="00617BD0">
        <w:rPr>
          <w:rFonts w:ascii="Times New Roman" w:hAnsi="Times New Roman"/>
          <w:b/>
          <w:i/>
          <w:sz w:val="28"/>
        </w:rPr>
        <w:t xml:space="preserve">Доцент, кандидат медицинских наук </w:t>
      </w:r>
    </w:p>
    <w:p w:rsidR="00010E34" w:rsidRPr="00617BD0" w:rsidRDefault="00000000">
      <w:pPr>
        <w:spacing w:beforeAutospacing="1" w:afterAutospacing="1" w:line="360" w:lineRule="auto"/>
        <w:ind w:firstLine="720"/>
        <w:contextualSpacing/>
        <w:jc w:val="right"/>
        <w:rPr>
          <w:rFonts w:ascii="Times New Roman" w:hAnsi="Times New Roman"/>
          <w:b/>
          <w:i/>
          <w:sz w:val="28"/>
        </w:rPr>
      </w:pPr>
      <w:r w:rsidRPr="00617BD0">
        <w:rPr>
          <w:rFonts w:ascii="Times New Roman" w:hAnsi="Times New Roman"/>
          <w:b/>
          <w:i/>
          <w:sz w:val="28"/>
        </w:rPr>
        <w:t xml:space="preserve">ГБУЗ ВО «ГКБСМП </w:t>
      </w:r>
      <w:proofErr w:type="spellStart"/>
      <w:r w:rsidRPr="00617BD0">
        <w:rPr>
          <w:rFonts w:ascii="Times New Roman" w:hAnsi="Times New Roman"/>
          <w:b/>
          <w:i/>
          <w:sz w:val="28"/>
        </w:rPr>
        <w:t>г.Владимира</w:t>
      </w:r>
      <w:proofErr w:type="spellEnd"/>
      <w:r w:rsidRPr="00617BD0">
        <w:rPr>
          <w:rFonts w:ascii="Times New Roman" w:hAnsi="Times New Roman"/>
          <w:b/>
          <w:i/>
          <w:sz w:val="28"/>
        </w:rPr>
        <w:t>»</w:t>
      </w:r>
    </w:p>
    <w:p w:rsidR="00010E34" w:rsidRPr="00617BD0" w:rsidRDefault="00000000">
      <w:pPr>
        <w:spacing w:beforeAutospacing="1" w:afterAutospacing="1" w:line="360" w:lineRule="auto"/>
        <w:ind w:firstLine="720"/>
        <w:contextualSpacing/>
        <w:jc w:val="right"/>
        <w:rPr>
          <w:rFonts w:ascii="Times New Roman" w:hAnsi="Times New Roman"/>
          <w:b/>
          <w:i/>
          <w:sz w:val="28"/>
        </w:rPr>
      </w:pPr>
      <w:r w:rsidRPr="00617BD0">
        <w:rPr>
          <w:rFonts w:ascii="Times New Roman" w:hAnsi="Times New Roman"/>
          <w:b/>
          <w:i/>
          <w:sz w:val="28"/>
        </w:rPr>
        <w:t>Доцент кафедры хирургии с курсом гинекологии, Владимирский филиал ПИМУ</w:t>
      </w:r>
    </w:p>
    <w:p w:rsidR="00010E34" w:rsidRPr="00617BD0" w:rsidRDefault="00000000">
      <w:pPr>
        <w:spacing w:beforeAutospacing="1" w:afterAutospacing="1" w:line="360" w:lineRule="auto"/>
        <w:contextualSpacing/>
        <w:jc w:val="right"/>
        <w:rPr>
          <w:rFonts w:ascii="Times New Roman" w:hAnsi="Times New Roman"/>
          <w:b/>
          <w:i/>
          <w:sz w:val="28"/>
        </w:rPr>
      </w:pPr>
      <w:r w:rsidRPr="00617BD0">
        <w:rPr>
          <w:rFonts w:ascii="Times New Roman" w:hAnsi="Times New Roman"/>
          <w:b/>
          <w:i/>
          <w:sz w:val="28"/>
        </w:rPr>
        <w:t>Город Владимир, РФ</w:t>
      </w: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</w:p>
    <w:p w:rsidR="00010E34" w:rsidRDefault="00000000">
      <w:pPr>
        <w:spacing w:beforeAutospacing="1" w:afterAutospacing="1"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БЕСКОНТАКТНЫЙ РЕЗОНАНСНЫЙ КОНТРОЛЬ КАЧЕСТВА ЖИДКИХ ПРОДУКТОВ ПИТАНИЯ НА БАЗЕ ПРИНЦИПОВ ЭЛЕКТРОМАГНИТНОЙ РЕЗОНАНСНОЙ СПЕКТРОСКОПИИ И КОНЦЕПЦИЙ, ОПУБЛИКОВАННЫХ В КНИГАХ И СТАТЬЯХ 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ДОКТОРА ДМИТРИЯ СМИРНОВА</w:t>
      </w:r>
    </w:p>
    <w:p w:rsidR="00010E34" w:rsidRDefault="00010E34">
      <w:pPr>
        <w:spacing w:beforeAutospacing="1" w:afterAutospacing="1"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</w:p>
    <w:p w:rsidR="00010E34" w:rsidRDefault="00000000">
      <w:pPr>
        <w:spacing w:beforeAutospacing="1" w:afterAutospacing="1" w:line="360" w:lineRule="auto"/>
        <w:ind w:firstLine="72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Аннотация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Качество продуктов питания, включая их соответствие современным требованиям стандартов здравоохранения, приобрело особую важность в наше время из-за множества глобальных процессов. Среди них глобальное потепление, применение генетически модифицированных продуктов, а также увеличение объемов использования химических удобрений и другие факторы риска. Эксперты-медики и технологи подчеркивают, что для контроля качества продуктов, особенно композиционных и многокомпонентных, </w:t>
      </w:r>
      <w:r>
        <w:rPr>
          <w:rFonts w:ascii="Times New Roman" w:hAnsi="Times New Roman"/>
          <w:sz w:val="28"/>
        </w:rPr>
        <w:lastRenderedPageBreak/>
        <w:t>традиционных методов уже недостаточно. Для обеспечения контроля качества жидкостей на современном уровне была разработана система датчиков, работающих на принципах магнитного резонанса. С учетом задач онлайн-контроля концентраций загрязняющих элементов особое значение приобретает концепция порядка измерений, предложенная в книгах и научных публикациях известного специалиста, хирурга и новатора Дмитрия Смирнова. Переход на современные методы контроля с применением искусственного интеллекта и нейросетей делает возможным существенное улучшение процесса измерений и повышение их точности при длительности одного цикла около 10 миллисекунд.</w:t>
      </w: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>
        <w:rPr>
          <w:rFonts w:ascii="Times New Roman" w:hAnsi="Times New Roman"/>
          <w:sz w:val="28"/>
        </w:rPr>
        <w:t xml:space="preserve"> Бесконтактный контроль; бесконтактный резонансный контроль; принципы резонансной электромагнитной спектроскопии; концепция доктора Дмитрия Смирнова; качество жидких продуктов питания; дистанционный контроль параметров; генетически модифицированные продукты; метод дистанционного контроля параметров; инновационные публикации доктора Дмитрия Смирнова; параметры состояния материального объекта преимущественно в виде жидкости, смеси жидкостей или смеси жидкостей и газов, а также аэрозолей; электрические явления, вносящие искажения во внешнее переменное электромагнитное поле; совокупность дополнительных емкостного, индуктивного и активного сопротивлений как дополнительный импеданс, вносимый испытуемым образцом.</w:t>
      </w: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Бесконтактный резонансный контроль качества жидких продуктов питания в современных условиях</w:t>
      </w:r>
    </w:p>
    <w:p w:rsidR="00010E34" w:rsidRDefault="00010E34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 продуктов питания приобрело особую важность из-за множества глобальных процессов: глобального потепления, применения генетически модифицированных продуктов, увеличения объемов использования химических удобрений и других факторов риска. Специалисты-технологи подчеркивают, что для контроля качества продуктов, особенно композиционных и многокомпонентных, традиционных методов стало недостаточно. Для контроля качества жидкостей, отвечающего современным требованиям, создана система датчиков, работающих на принципах магнитного резонанса.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основан на создании переменного электромагнитного поля в пространстве, где расположен исследуемый образец. Это поле служит связующим элементом между резонансным контуром и образцом. Резонансный контур работает как излучатель и как чувствительный элемент, фиксирующий изменения в электромагнитном поле, вызванные исследуемым объектом.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Даже при отсутствии образца переменное поле соленоида является суммой двух полей, находящихся в противофазе. Одно создается изменением магнитной индукции соленоида контролирующего элемента системы и порождает вихревое электрическое поле (уравнение Максвелла–Фарадея). Другое возникает вследствие изменений электрического поля, возникающего из-за разности потенциалов между витками соленоида, и порождает вихревое магнитное поле (закон Ампера с поправкой Максвелла).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 воздействием переменного электромагнитного поля в исследуемом образце могут индуцироваться линейные и вихревые токи проводимости, токи смещения, возникающие вследствие диэлектрической поляризации, а также линейные и вихревые ионные токи. Эти явления создают искажения поля, которые фиксируются соленоидом резонансного датчика. Резонансный контур реагирует на эти искажения так, словно в его состав добавлены конденсатор, индуктивность и резистор. Совокупность этих дополнительных параметров представляет собой импеданс, вносимый образцом. Именно этот импеданс и измеряет датчик.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параметров резонансного контура выражаются в изменении его амплитудно-частотной характеристики, включая смещение резонансной частоты и амплитуды. Анализ величины и характера этих изменений позволяет оценить импеданс образца.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Заслуга доктора Дмитрия Смирнова заключается в формировании технологического компромисса между классическим и инновационным порядками измерений, а также в координации параметров процесса при сохранении необходимого уровня пропорциональности единиц измерений в соответствии с требованиями здравоохранения.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для магниторезонансного контроля качества воды или водных растворов представляет собой участок трубопровода, на внешней поверхности которого установлен кольцевой сенсор, подключенный к источнику питания, системе управления и усиления сигнала. По рекомендации доктора Дмитрия Смирнова система может включать передающее устройство, которое позволяет отправлять усиленный и идентифицированный сигнал оператору или на мобильный телефон.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настраивается на эталонный образец с учетом локальных условий. Сенсор фиксирует любое изменение состояния воды или другой </w:t>
      </w:r>
      <w:r>
        <w:rPr>
          <w:rFonts w:ascii="Times New Roman" w:hAnsi="Times New Roman"/>
          <w:sz w:val="28"/>
        </w:rPr>
        <w:lastRenderedPageBreak/>
        <w:t>жидкости, а сигнал отображается на пульте оператора, компьютере или мобильном устройстве. Периодичность тестов может задаваться в диапазоне от одного измерения каждые 0.1 секунды до одного измерения в минуту.</w:t>
      </w:r>
    </w:p>
    <w:p w:rsidR="00010E34" w:rsidRDefault="00000000">
      <w:pPr>
        <w:spacing w:beforeAutospacing="1" w:afterAutospacing="1"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параметрам сенсора относятся точность и чувствительность. Ключевой параметр — чувствительность: способность зафиксировать и идентифицировать различия порядка 0.000001 грамма на литр. Для выполнения аналогичных операций в существующих технологиях требуется квалифицированный персонал со стоимостью рабочего часа более 35 долларов США. Персонал может выполнить не более одного теста в сутки, а состояние воды между измерениями не контролируется, что увеличивает риск аварийных ситуаций. Отсутствие постоянного контроля и оперативной передачи данных замедляет устранение проблем. Для демонстрации возможности мониторинга жидкости по интегральному амплитудному показателю было изготовлено экспериментальное лабораторное оборудование. В качестве жидкости, подвергаемой мониторингу, применялась ионизованная вода.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t>Чтобы образцы отличались только по уровню кислотности или щелочности, подготовку вели в проточном электрохимическом реакторе. Восходящий поток обычной водопроводной воды (минерализация водопроводной воды в Сан-Франциско всего 40 миллиграмм на литр) в процессе ионизации разделялся на два параллельных потока. Один получал кислотный фон, второй щелочной.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t>Для оценки влияния толщины слоя воды на результат сенсор погружали в сообщающиеся цилиндрические сосуды, диаметр которых отличался в два раза.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lastRenderedPageBreak/>
        <w:t>Испытания и измерения показали, что амплитуда в образцах одной и той же воды с уровнем кислотности 3 единицы и уровнем щелочности 11 единиц (при равной исходной минерализации 40 миллиграмм) отличалась на 1000 милливольт.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t>Этот опыт демонстрирует возможность фиксировать даже самые незначительные изменения в состоянии жидкостей в каждой из камер двухкомпонентной упаковки. Полученная чувствительность сенсора позволяет следить за изменениями не только в каждом компоненте по отдельности, но и отслеживать малейшие вариации в последовательном сравнении друг с другом.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t>Такой вариант сравнения даёт возможность прогнозировать изменения качественного состава смеси, полученной после объединения компонентов.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t>На фотографиях далее представлены образцы экспериментальных макетов. Соленоид в них изготовлен из провода с изоляцией красного цвета для контрастности.</w:t>
      </w:r>
    </w:p>
    <w:p w:rsidR="00010E34" w:rsidRDefault="00000000">
      <w:pPr>
        <w:spacing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402666" cy="307238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02666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E34" w:rsidRDefault="00010E34">
      <w:pPr>
        <w:spacing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</w:p>
    <w:p w:rsidR="00010E34" w:rsidRDefault="00000000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Рисунок 1. Образцы жидкостей, использованные для экспериментальной проверки технологии вихревого смешивания. На фотографии представлены два прозрачных цилиндрических сосуда с исходными компонентами, подготовленными к сравнительным тестам.</w:t>
      </w:r>
    </w:p>
    <w:p w:rsidR="00010E34" w:rsidRDefault="00010E34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010E34" w:rsidRDefault="00000000">
      <w:pPr>
        <w:spacing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708275" cy="3955736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08275" cy="39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E34" w:rsidRDefault="00010E34">
      <w:pPr>
        <w:spacing w:line="360" w:lineRule="auto"/>
        <w:ind w:firstLine="720"/>
        <w:contextualSpacing/>
        <w:jc w:val="center"/>
        <w:rPr>
          <w:rFonts w:ascii="Times New Roman" w:hAnsi="Times New Roman"/>
          <w:sz w:val="28"/>
        </w:rPr>
      </w:pPr>
    </w:p>
    <w:p w:rsidR="00010E34" w:rsidRDefault="00000000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2. Экспериментальные пробирки с полученными смесями после воздействия вихревого поля. На изображении показаны различия в визуальных характеристиках растворов, подтверждающие эффективность метода.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sz w:val="28"/>
        </w:rPr>
      </w:pPr>
      <w:r>
        <w:rPr>
          <w:sz w:val="28"/>
        </w:rPr>
        <w:t xml:space="preserve">Таким образом становится реальным вывод о том, что для повышения точности обнаружения и идентификации малейших изменений в качестве жидких продуктов питания целесообразно использовать многокомпонентную </w:t>
      </w:r>
      <w:r>
        <w:rPr>
          <w:sz w:val="28"/>
        </w:rPr>
        <w:lastRenderedPageBreak/>
        <w:t>упаковку. Такая упаковка обеспечивает корректное хранение, удобную транспортировку и более эффективное смешивание перед употреблением.</w:t>
      </w:r>
    </w:p>
    <w:p w:rsidR="00010E34" w:rsidRDefault="00000000">
      <w:pPr>
        <w:pStyle w:val="af"/>
        <w:spacing w:line="360" w:lineRule="auto"/>
        <w:ind w:firstLine="720"/>
        <w:contextualSpacing/>
        <w:jc w:val="both"/>
        <w:rPr>
          <w:b/>
          <w:sz w:val="28"/>
        </w:rPr>
      </w:pPr>
      <w:r>
        <w:rPr>
          <w:b/>
          <w:sz w:val="28"/>
        </w:rPr>
        <w:t>Список использованной литературы и патентно-лицензионных материалов</w:t>
      </w:r>
    </w:p>
    <w:p w:rsidR="00010E34" w:rsidRDefault="00010E34">
      <w:pPr>
        <w:pStyle w:val="af"/>
        <w:spacing w:line="360" w:lineRule="auto"/>
        <w:ind w:firstLine="720"/>
        <w:contextualSpacing/>
        <w:jc w:val="both"/>
        <w:rPr>
          <w:sz w:val="28"/>
        </w:rPr>
      </w:pP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t>Приложение</w:t>
      </w:r>
      <w:r w:rsidRPr="00617BD0">
        <w:rPr>
          <w:sz w:val="28"/>
          <w:lang w:val="en-US"/>
        </w:rPr>
        <w:t xml:space="preserve"> 1</w:t>
      </w:r>
      <w:r w:rsidRPr="00617BD0">
        <w:rPr>
          <w:sz w:val="28"/>
          <w:lang w:val="en-US"/>
        </w:rPr>
        <w:br/>
        <w:t>United States Patent 6,188,151</w:t>
      </w:r>
      <w:r w:rsidRPr="00617BD0">
        <w:rPr>
          <w:sz w:val="28"/>
          <w:lang w:val="en-US"/>
        </w:rPr>
        <w:br/>
        <w:t>February 13, 2001</w:t>
      </w:r>
      <w:r w:rsidRPr="00617BD0">
        <w:rPr>
          <w:sz w:val="28"/>
          <w:lang w:val="en-US"/>
        </w:rPr>
        <w:br/>
        <w:t>Magnet assembly with reciprocating core member and associated method of operation</w:t>
      </w:r>
      <w:r w:rsidRPr="00617BD0">
        <w:rPr>
          <w:sz w:val="28"/>
          <w:lang w:val="en-US"/>
        </w:rPr>
        <w:br/>
        <w:t>Abstract</w:t>
      </w:r>
      <w:r w:rsidRPr="00617BD0">
        <w:rPr>
          <w:sz w:val="28"/>
          <w:lang w:val="en-US"/>
        </w:rPr>
        <w:br/>
        <w:t>An electromagnetic assembly includes a casing, a solenoid disposed inside the casing, a stationary magnetic core, and a movable magnetic core. The stationary core is fixed relative to the solenoid and the casing. The movable core reciprocates along an axis. All elements have rectangular or square cross-sections.</w:t>
      </w: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t>Приложение</w:t>
      </w:r>
      <w:r w:rsidRPr="00617BD0">
        <w:rPr>
          <w:sz w:val="28"/>
          <w:lang w:val="en-US"/>
        </w:rPr>
        <w:t xml:space="preserve"> 2</w:t>
      </w:r>
      <w:r w:rsidRPr="00617BD0">
        <w:rPr>
          <w:sz w:val="28"/>
          <w:lang w:val="en-US"/>
        </w:rPr>
        <w:br/>
        <w:t>United States Patent 5,871,814</w:t>
      </w:r>
      <w:r w:rsidRPr="00617BD0">
        <w:rPr>
          <w:sz w:val="28"/>
          <w:lang w:val="en-US"/>
        </w:rPr>
        <w:br/>
        <w:t>February 16, 1999</w:t>
      </w:r>
      <w:r w:rsidRPr="00617BD0">
        <w:rPr>
          <w:sz w:val="28"/>
          <w:lang w:val="en-US"/>
        </w:rPr>
        <w:br/>
        <w:t>Pneumatic grip</w:t>
      </w:r>
      <w:r w:rsidRPr="00617BD0">
        <w:rPr>
          <w:sz w:val="28"/>
          <w:lang w:val="en-US"/>
        </w:rPr>
        <w:br/>
        <w:t>Abstract</w:t>
      </w:r>
      <w:r w:rsidRPr="00617BD0">
        <w:rPr>
          <w:sz w:val="28"/>
          <w:lang w:val="en-US"/>
        </w:rPr>
        <w:br/>
        <w:t>A device creates a planar radial fluid flow for forming a vacuum. Includes a conical fluid shaping mechanism, secondary passageways and a reflector positioned to uniformly redirect the flow.</w:t>
      </w: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t>Приложение</w:t>
      </w:r>
      <w:r w:rsidRPr="00617BD0">
        <w:rPr>
          <w:sz w:val="28"/>
          <w:lang w:val="en-US"/>
        </w:rPr>
        <w:t xml:space="preserve"> 3</w:t>
      </w:r>
      <w:r w:rsidRPr="00617BD0">
        <w:rPr>
          <w:sz w:val="28"/>
          <w:lang w:val="en-US"/>
        </w:rPr>
        <w:br/>
        <w:t>United States Patent 6,139,714</w:t>
      </w:r>
      <w:r w:rsidRPr="00617BD0">
        <w:rPr>
          <w:sz w:val="28"/>
          <w:lang w:val="en-US"/>
        </w:rPr>
        <w:br/>
        <w:t>October 31, 2000</w:t>
      </w:r>
      <w:r w:rsidRPr="00617BD0">
        <w:rPr>
          <w:sz w:val="28"/>
          <w:lang w:val="en-US"/>
        </w:rPr>
        <w:br/>
        <w:t>Method and apparatus for adjusting the pH of a liquid</w:t>
      </w:r>
      <w:r w:rsidRPr="00617BD0">
        <w:rPr>
          <w:sz w:val="28"/>
          <w:lang w:val="en-US"/>
        </w:rPr>
        <w:br/>
      </w:r>
      <w:r w:rsidRPr="00617BD0">
        <w:rPr>
          <w:sz w:val="28"/>
          <w:lang w:val="en-US"/>
        </w:rPr>
        <w:lastRenderedPageBreak/>
        <w:t>Abstract</w:t>
      </w:r>
      <w:r w:rsidRPr="00617BD0">
        <w:rPr>
          <w:sz w:val="28"/>
          <w:lang w:val="en-US"/>
        </w:rPr>
        <w:br/>
        <w:t>A process and device for electrochemical pH adjustment of an aqueous fluid. Uses a U-shaped connected vessel with a small active zone between two electrodes to accelerate flow during treatment.</w:t>
      </w: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t>Приложение</w:t>
      </w:r>
      <w:r w:rsidRPr="00617BD0">
        <w:rPr>
          <w:sz w:val="28"/>
          <w:lang w:val="en-US"/>
        </w:rPr>
        <w:t xml:space="preserve"> 4</w:t>
      </w:r>
      <w:r w:rsidRPr="00617BD0">
        <w:rPr>
          <w:sz w:val="28"/>
          <w:lang w:val="en-US"/>
        </w:rPr>
        <w:br/>
        <w:t>United States Patent 8,694,091</w:t>
      </w:r>
      <w:r w:rsidRPr="00617BD0">
        <w:rPr>
          <w:sz w:val="28"/>
          <w:lang w:val="en-US"/>
        </w:rPr>
        <w:br/>
        <w:t>April 8, 2014</w:t>
      </w:r>
      <w:r w:rsidRPr="00617BD0">
        <w:rPr>
          <w:sz w:val="28"/>
          <w:lang w:val="en-US"/>
        </w:rPr>
        <w:br/>
        <w:t>In vivo determination of acidity levels</w:t>
      </w:r>
      <w:r w:rsidRPr="00617BD0">
        <w:rPr>
          <w:sz w:val="28"/>
          <w:lang w:val="en-US"/>
        </w:rPr>
        <w:br/>
        <w:t>Abstract</w:t>
      </w:r>
      <w:r w:rsidRPr="00617BD0">
        <w:rPr>
          <w:sz w:val="28"/>
          <w:lang w:val="en-US"/>
        </w:rPr>
        <w:br/>
        <w:t>A bolus for ruminants with a dielectric cavity and coil member that generates an electromagnetic field. A sensor measures changes corresponding to acidity levels, transmitting data wirelessly.</w:t>
      </w: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t>Приложение</w:t>
      </w:r>
      <w:r w:rsidRPr="00617BD0">
        <w:rPr>
          <w:sz w:val="28"/>
          <w:lang w:val="en-US"/>
        </w:rPr>
        <w:t xml:space="preserve"> 5</w:t>
      </w:r>
      <w:r w:rsidRPr="00617BD0">
        <w:rPr>
          <w:sz w:val="28"/>
          <w:lang w:val="en-US"/>
        </w:rPr>
        <w:br/>
        <w:t>United States Patent 8,715,378</w:t>
      </w:r>
      <w:r w:rsidRPr="00617BD0">
        <w:rPr>
          <w:sz w:val="28"/>
          <w:lang w:val="en-US"/>
        </w:rPr>
        <w:br/>
        <w:t>May 6, 2014</w:t>
      </w:r>
      <w:r w:rsidRPr="00617BD0">
        <w:rPr>
          <w:sz w:val="28"/>
          <w:lang w:val="en-US"/>
        </w:rPr>
        <w:br/>
        <w:t>Fluid composite, device for producing thereof and system of use</w:t>
      </w:r>
      <w:r w:rsidRPr="00617BD0">
        <w:rPr>
          <w:sz w:val="28"/>
          <w:lang w:val="en-US"/>
        </w:rPr>
        <w:br/>
        <w:t>Abstract</w:t>
      </w:r>
      <w:r w:rsidRPr="00617BD0">
        <w:rPr>
          <w:sz w:val="28"/>
          <w:lang w:val="en-US"/>
        </w:rPr>
        <w:br/>
        <w:t>A fluid composite made of fuel and oxidant forms a 3D matrix of hollow spheres of fuel around compressed gas. Includes alternative configurations for pressure-formed oblong cells and multi-inlet mixing.</w:t>
      </w: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t>Приложение</w:t>
      </w:r>
      <w:r w:rsidRPr="00617BD0">
        <w:rPr>
          <w:sz w:val="28"/>
          <w:lang w:val="en-US"/>
        </w:rPr>
        <w:t xml:space="preserve"> 6</w:t>
      </w:r>
      <w:r w:rsidRPr="00617BD0">
        <w:rPr>
          <w:sz w:val="28"/>
          <w:lang w:val="en-US"/>
        </w:rPr>
        <w:br/>
        <w:t>United States Patent 8,746,965</w:t>
      </w:r>
      <w:r w:rsidRPr="00617BD0">
        <w:rPr>
          <w:sz w:val="28"/>
          <w:lang w:val="en-US"/>
        </w:rPr>
        <w:br/>
        <w:t>June 10, 2014</w:t>
      </w:r>
      <w:r w:rsidRPr="00617BD0">
        <w:rPr>
          <w:sz w:val="28"/>
          <w:lang w:val="en-US"/>
        </w:rPr>
        <w:br/>
        <w:t>Method of dynamic mixing of fluids</w:t>
      </w:r>
      <w:r w:rsidRPr="00617BD0">
        <w:rPr>
          <w:sz w:val="28"/>
          <w:lang w:val="en-US"/>
        </w:rPr>
        <w:br/>
        <w:t>Abstract</w:t>
      </w:r>
      <w:r w:rsidRPr="00617BD0">
        <w:rPr>
          <w:sz w:val="28"/>
          <w:lang w:val="en-US"/>
        </w:rPr>
        <w:br/>
        <w:t>Dynamic mixing using integrated concentric contours that direct fluid streams in opposite directions, raising the kinetic energy and improving mixing efficiency.</w:t>
      </w:r>
    </w:p>
    <w:p w:rsidR="00010E34" w:rsidRPr="00617BD0" w:rsidRDefault="00000000">
      <w:pPr>
        <w:pStyle w:val="af"/>
        <w:spacing w:line="360" w:lineRule="auto"/>
        <w:ind w:firstLine="720"/>
        <w:contextualSpacing/>
        <w:rPr>
          <w:sz w:val="28"/>
          <w:lang w:val="en-US"/>
        </w:rPr>
      </w:pPr>
      <w:r>
        <w:rPr>
          <w:sz w:val="28"/>
        </w:rPr>
        <w:lastRenderedPageBreak/>
        <w:t>Приложение</w:t>
      </w:r>
      <w:r w:rsidRPr="00617BD0">
        <w:rPr>
          <w:sz w:val="28"/>
          <w:lang w:val="en-US"/>
        </w:rPr>
        <w:t xml:space="preserve"> 7</w:t>
      </w:r>
      <w:r w:rsidRPr="00617BD0">
        <w:rPr>
          <w:sz w:val="28"/>
          <w:lang w:val="en-US"/>
        </w:rPr>
        <w:br/>
        <w:t>United States Patent 9,316,605</w:t>
      </w:r>
      <w:r w:rsidRPr="00617BD0">
        <w:rPr>
          <w:sz w:val="28"/>
          <w:lang w:val="en-US"/>
        </w:rPr>
        <w:br/>
        <w:t>April 19, 2016</w:t>
      </w:r>
      <w:r w:rsidRPr="00617BD0">
        <w:rPr>
          <w:sz w:val="28"/>
          <w:lang w:val="en-US"/>
        </w:rPr>
        <w:br/>
        <w:t>Determination of attributes of liquid substances</w:t>
      </w:r>
      <w:r w:rsidRPr="00617BD0">
        <w:rPr>
          <w:sz w:val="28"/>
          <w:lang w:val="en-US"/>
        </w:rPr>
        <w:br/>
        <w:t>Abstract</w:t>
      </w:r>
      <w:r w:rsidRPr="00617BD0">
        <w:rPr>
          <w:sz w:val="28"/>
          <w:lang w:val="en-US"/>
        </w:rPr>
        <w:br/>
        <w:t>A monitoring unit with multiple coils generating different electromagnetic fields. Impedance measurements are processed to determine parameters of a liquid attribute.</w:t>
      </w:r>
    </w:p>
    <w:p w:rsidR="00010E34" w:rsidRPr="00617BD0" w:rsidRDefault="00010E34">
      <w:pPr>
        <w:spacing w:line="360" w:lineRule="auto"/>
        <w:ind w:firstLine="720"/>
        <w:contextualSpacing/>
        <w:rPr>
          <w:rFonts w:ascii="Times New Roman" w:hAnsi="Times New Roman"/>
          <w:sz w:val="28"/>
          <w:lang w:val="en-US"/>
        </w:rPr>
      </w:pPr>
    </w:p>
    <w:sectPr w:rsidR="00010E34" w:rsidRPr="00617BD0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221" w:rsidRDefault="00321221">
      <w:pPr>
        <w:spacing w:after="0" w:line="240" w:lineRule="auto"/>
      </w:pPr>
      <w:r>
        <w:separator/>
      </w:r>
    </w:p>
  </w:endnote>
  <w:endnote w:type="continuationSeparator" w:id="0">
    <w:p w:rsidR="00321221" w:rsidRDefault="0032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E34" w:rsidRDefault="00000000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010E34" w:rsidRDefault="00010E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221" w:rsidRDefault="00321221">
      <w:pPr>
        <w:spacing w:after="0" w:line="240" w:lineRule="auto"/>
      </w:pPr>
      <w:r>
        <w:separator/>
      </w:r>
    </w:p>
  </w:footnote>
  <w:footnote w:type="continuationSeparator" w:id="0">
    <w:p w:rsidR="00321221" w:rsidRDefault="00321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34"/>
    <w:rsid w:val="00010E34"/>
    <w:rsid w:val="00321221"/>
    <w:rsid w:val="00617BD0"/>
    <w:rsid w:val="00DB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81B8E31-1B58-B24D-8BBF-D8E4577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трогий1"/>
    <w:basedOn w:val="12"/>
    <w:link w:val="ab"/>
    <w:rPr>
      <w:b/>
    </w:rPr>
  </w:style>
  <w:style w:type="character" w:styleId="ab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Интернет) Знак"/>
    <w:basedOn w:val="1"/>
    <w:link w:val="af"/>
    <w:rPr>
      <w:rFonts w:ascii="Times New Roman" w:hAnsi="Times New Roman"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mrmdsda@gmail.com</cp:lastModifiedBy>
  <cp:revision>2</cp:revision>
  <dcterms:created xsi:type="dcterms:W3CDTF">2025-11-19T10:22:00Z</dcterms:created>
  <dcterms:modified xsi:type="dcterms:W3CDTF">2025-11-24T18:31:00Z</dcterms:modified>
</cp:coreProperties>
</file>