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F5" w:rsidRDefault="00F50960" w:rsidP="00B05F2B">
      <w:pPr>
        <w:spacing w:line="360" w:lineRule="auto"/>
        <w:jc w:val="center"/>
        <w:rPr>
          <w:b/>
          <w:lang w:val="en-US"/>
        </w:rPr>
      </w:pPr>
      <w:r w:rsidRPr="00594DF5">
        <w:rPr>
          <w:b/>
          <w:lang w:val="en-US"/>
        </w:rPr>
        <w:t xml:space="preserve">REASONING OF THE CHOICE </w:t>
      </w:r>
      <w:r>
        <w:rPr>
          <w:b/>
          <w:lang w:val="en-US"/>
        </w:rPr>
        <w:t xml:space="preserve">OF </w:t>
      </w:r>
      <w:r w:rsidRPr="00594DF5">
        <w:rPr>
          <w:b/>
          <w:lang w:val="en-US"/>
        </w:rPr>
        <w:t xml:space="preserve">RESEARCH METHODS AND ANALYSIS OF LOYALTY IN THE RETAIL SECTOR </w:t>
      </w:r>
      <w:r>
        <w:rPr>
          <w:b/>
          <w:lang w:val="en-US"/>
        </w:rPr>
        <w:t xml:space="preserve">OF </w:t>
      </w:r>
      <w:r w:rsidRPr="00594DF5">
        <w:rPr>
          <w:b/>
          <w:lang w:val="en-US"/>
        </w:rPr>
        <w:t>PHARMACEUTICAL INDUSTRY</w:t>
      </w:r>
    </w:p>
    <w:p w:rsidR="006E33D1" w:rsidRPr="00594DF5" w:rsidRDefault="006E33D1" w:rsidP="00B05F2B">
      <w:pPr>
        <w:spacing w:line="360" w:lineRule="auto"/>
        <w:jc w:val="center"/>
        <w:rPr>
          <w:b/>
          <w:lang w:val="en-US"/>
        </w:rPr>
      </w:pPr>
    </w:p>
    <w:p w:rsidR="0067578E" w:rsidRPr="00AC1AE6" w:rsidRDefault="00CE0D68" w:rsidP="00CE0D68">
      <w:pPr>
        <w:spacing w:line="360" w:lineRule="auto"/>
        <w:ind w:firstLine="709"/>
        <w:jc w:val="center"/>
        <w:rPr>
          <w:vertAlign w:val="superscript"/>
        </w:rPr>
      </w:pPr>
      <w:r>
        <w:rPr>
          <w:lang w:val="en-US"/>
        </w:rPr>
        <w:t>Olha O. Molodozhonova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 w:rsidR="0067578E" w:rsidRPr="0067578E">
        <w:t>Inna V. Bushueva</w:t>
      </w:r>
      <w:r>
        <w:rPr>
          <w:vertAlign w:val="superscript"/>
          <w:lang w:val="en-US"/>
        </w:rPr>
        <w:t>2</w:t>
      </w:r>
      <w:r w:rsidR="0067578E">
        <w:t xml:space="preserve">, </w:t>
      </w:r>
      <w:r w:rsidR="00651FFE" w:rsidRPr="00AC1AE6">
        <w:rPr>
          <w:lang w:val="en-US"/>
        </w:rPr>
        <w:t>Olexiy A. Ryzhov</w:t>
      </w:r>
      <w:r w:rsidR="00AC1AE6" w:rsidRPr="00AC1AE6">
        <w:rPr>
          <w:vertAlign w:val="superscript"/>
        </w:rPr>
        <w:t>3</w:t>
      </w:r>
    </w:p>
    <w:p w:rsidR="0067578E" w:rsidRPr="00AF45E1" w:rsidRDefault="00CE0D68" w:rsidP="0067578E">
      <w:pPr>
        <w:spacing w:line="360" w:lineRule="auto"/>
        <w:ind w:firstLine="709"/>
        <w:rPr>
          <w:sz w:val="24"/>
          <w:szCs w:val="24"/>
          <w:lang w:val="en-US"/>
        </w:rPr>
      </w:pPr>
      <w:r w:rsidRPr="00AF45E1">
        <w:rPr>
          <w:sz w:val="24"/>
          <w:szCs w:val="24"/>
          <w:vertAlign w:val="superscript"/>
          <w:lang w:val="en-US"/>
        </w:rPr>
        <w:t xml:space="preserve">1 </w:t>
      </w:r>
      <w:r w:rsidR="0067578E" w:rsidRPr="00AF45E1">
        <w:rPr>
          <w:sz w:val="24"/>
          <w:szCs w:val="24"/>
          <w:lang w:val="en-US"/>
        </w:rPr>
        <w:t>Department Management and Economics</w:t>
      </w:r>
      <w:r w:rsidR="00F81B57" w:rsidRPr="00AF45E1">
        <w:rPr>
          <w:sz w:val="24"/>
          <w:szCs w:val="24"/>
          <w:lang w:val="en-US"/>
        </w:rPr>
        <w:t xml:space="preserve"> of Pharmacy</w:t>
      </w:r>
      <w:r w:rsidR="0067578E" w:rsidRPr="00AF45E1">
        <w:rPr>
          <w:sz w:val="24"/>
          <w:szCs w:val="24"/>
          <w:lang w:val="en-US"/>
        </w:rPr>
        <w:t xml:space="preserve">, Zaporizhzhya State Medical University, 26 Mayakovskiy Ave., </w:t>
      </w:r>
      <w:r w:rsidRPr="00AF45E1">
        <w:rPr>
          <w:sz w:val="24"/>
          <w:szCs w:val="24"/>
          <w:lang w:val="en-US"/>
        </w:rPr>
        <w:t>Zaporizhzhya</w:t>
      </w:r>
      <w:r w:rsidR="0067578E" w:rsidRPr="00AF45E1">
        <w:rPr>
          <w:sz w:val="24"/>
          <w:szCs w:val="24"/>
          <w:lang w:val="en-US"/>
        </w:rPr>
        <w:t>,</w:t>
      </w:r>
      <w:r w:rsidRPr="00AF45E1">
        <w:rPr>
          <w:sz w:val="24"/>
          <w:szCs w:val="24"/>
          <w:lang w:val="en-US"/>
        </w:rPr>
        <w:t xml:space="preserve"> </w:t>
      </w:r>
      <w:r w:rsidR="0067578E" w:rsidRPr="00AF45E1">
        <w:rPr>
          <w:sz w:val="24"/>
          <w:szCs w:val="24"/>
          <w:lang w:val="en-US"/>
        </w:rPr>
        <w:t>Ukraine</w:t>
      </w:r>
    </w:p>
    <w:p w:rsidR="00CE0D68" w:rsidRDefault="00CE0D68" w:rsidP="00CE0D68">
      <w:pPr>
        <w:spacing w:line="360" w:lineRule="auto"/>
        <w:ind w:firstLine="709"/>
        <w:rPr>
          <w:sz w:val="24"/>
          <w:szCs w:val="24"/>
          <w:lang w:val="en-US"/>
        </w:rPr>
      </w:pPr>
      <w:r w:rsidRPr="00AF45E1">
        <w:rPr>
          <w:sz w:val="24"/>
          <w:szCs w:val="24"/>
          <w:vertAlign w:val="superscript"/>
          <w:lang w:val="en-US"/>
        </w:rPr>
        <w:t xml:space="preserve">2 </w:t>
      </w:r>
      <w:r w:rsidRPr="00AF45E1">
        <w:rPr>
          <w:sz w:val="24"/>
          <w:szCs w:val="24"/>
          <w:lang w:val="en-US"/>
        </w:rPr>
        <w:t>Department of Clinical Pharmacy, Pharmacotherapy and Management and Pharmacy Economics of Faculty of Postgraduate Education, Zaporizhzhya State Medical University, 38 Stalevariv st., Zaporizhzhya, Ukraine</w:t>
      </w:r>
    </w:p>
    <w:p w:rsidR="00AC1AE6" w:rsidRPr="00AC1AE6" w:rsidRDefault="00AC1AE6" w:rsidP="00CE0D68">
      <w:pPr>
        <w:spacing w:line="360" w:lineRule="auto"/>
        <w:ind w:firstLine="709"/>
        <w:rPr>
          <w:sz w:val="24"/>
          <w:szCs w:val="24"/>
        </w:rPr>
      </w:pPr>
      <w:r w:rsidRPr="00AC1AE6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  <w:r w:rsidRPr="00AC1AE6">
        <w:rPr>
          <w:sz w:val="24"/>
          <w:szCs w:val="24"/>
        </w:rPr>
        <w:t xml:space="preserve">Department of </w:t>
      </w:r>
      <w:r>
        <w:rPr>
          <w:sz w:val="24"/>
          <w:szCs w:val="24"/>
          <w:lang w:val="en-US"/>
        </w:rPr>
        <w:t>Medi</w:t>
      </w:r>
      <w:r w:rsidRPr="00AC1AE6">
        <w:rPr>
          <w:sz w:val="24"/>
          <w:szCs w:val="24"/>
        </w:rPr>
        <w:t xml:space="preserve">cal </w:t>
      </w:r>
      <w:r>
        <w:rPr>
          <w:sz w:val="24"/>
          <w:szCs w:val="24"/>
          <w:lang w:val="en-US"/>
        </w:rPr>
        <w:t xml:space="preserve">and </w:t>
      </w:r>
      <w:r>
        <w:rPr>
          <w:sz w:val="24"/>
          <w:szCs w:val="24"/>
        </w:rPr>
        <w:t>Pharmaceutical Information Science and Modern Technologies</w:t>
      </w:r>
      <w:r w:rsidRPr="00AC1AE6">
        <w:rPr>
          <w:sz w:val="24"/>
          <w:szCs w:val="24"/>
        </w:rPr>
        <w:t>, Zaporizhzhya State Medical University, 26 Mayakovskiy Ave., Zaporizhzhya, Ukraine</w:t>
      </w:r>
    </w:p>
    <w:p w:rsidR="00CE0D68" w:rsidRPr="006E33D1" w:rsidRDefault="006E33D1" w:rsidP="006E33D1">
      <w:pPr>
        <w:spacing w:line="360" w:lineRule="auto"/>
        <w:ind w:firstLine="709"/>
        <w:jc w:val="center"/>
        <w:rPr>
          <w:b/>
          <w:i/>
          <w:lang w:val="en-US"/>
        </w:rPr>
      </w:pPr>
      <w:r w:rsidRPr="006E33D1">
        <w:rPr>
          <w:b/>
          <w:i/>
          <w:lang w:val="en-US"/>
        </w:rPr>
        <w:t>Abstract</w:t>
      </w:r>
    </w:p>
    <w:p w:rsidR="006A6062" w:rsidRDefault="00594DF5" w:rsidP="00AC1AE6">
      <w:pPr>
        <w:tabs>
          <w:tab w:val="left" w:pos="1246"/>
        </w:tabs>
        <w:spacing w:line="360" w:lineRule="auto"/>
        <w:ind w:firstLine="709"/>
        <w:rPr>
          <w:sz w:val="24"/>
          <w:szCs w:val="24"/>
          <w:lang w:val="en-US"/>
        </w:rPr>
      </w:pPr>
      <w:r w:rsidRPr="00F00421">
        <w:rPr>
          <w:sz w:val="24"/>
          <w:szCs w:val="24"/>
          <w:lang w:val="en-US"/>
        </w:rPr>
        <w:t xml:space="preserve">Measuring of customer loyalty and </w:t>
      </w:r>
      <w:r w:rsidR="006E33D1" w:rsidRPr="00F00421">
        <w:rPr>
          <w:sz w:val="24"/>
          <w:szCs w:val="24"/>
          <w:lang w:val="en-US"/>
        </w:rPr>
        <w:t>employee’s</w:t>
      </w:r>
      <w:r w:rsidRPr="00F00421">
        <w:rPr>
          <w:sz w:val="24"/>
          <w:szCs w:val="24"/>
          <w:lang w:val="en-US"/>
        </w:rPr>
        <w:t xml:space="preserve"> loyalty always remains questionable it </w:t>
      </w:r>
      <w:r w:rsidR="00F81B57" w:rsidRPr="00F00421">
        <w:rPr>
          <w:sz w:val="24"/>
          <w:szCs w:val="24"/>
          <w:lang w:val="en-US"/>
        </w:rPr>
        <w:t>is not</w:t>
      </w:r>
      <w:r w:rsidRPr="00F00421">
        <w:rPr>
          <w:sz w:val="24"/>
          <w:szCs w:val="24"/>
          <w:lang w:val="en-US"/>
        </w:rPr>
        <w:t xml:space="preserve"> only a question of a scientific nature</w:t>
      </w:r>
      <w:r w:rsidR="00F00421" w:rsidRPr="00F00421">
        <w:rPr>
          <w:sz w:val="24"/>
          <w:szCs w:val="24"/>
          <w:lang w:val="en-US"/>
        </w:rPr>
        <w:t xml:space="preserve"> and</w:t>
      </w:r>
      <w:r w:rsidRPr="00F00421">
        <w:rPr>
          <w:sz w:val="24"/>
          <w:szCs w:val="24"/>
          <w:lang w:val="en-US"/>
        </w:rPr>
        <w:t xml:space="preserve"> </w:t>
      </w:r>
      <w:r w:rsidR="00F00421" w:rsidRPr="00F00421">
        <w:rPr>
          <w:sz w:val="24"/>
          <w:szCs w:val="24"/>
          <w:lang w:val="en-US"/>
        </w:rPr>
        <w:t>this question is interesting for pharmaceutical managers</w:t>
      </w:r>
      <w:r w:rsidRPr="00F00421">
        <w:rPr>
          <w:sz w:val="24"/>
          <w:szCs w:val="24"/>
          <w:lang w:val="en-US"/>
        </w:rPr>
        <w:t>. The development of research methods and sociological data processing gives rise to a more active and dynamic research</w:t>
      </w:r>
      <w:r w:rsidR="00F00421" w:rsidRPr="00F00421">
        <w:rPr>
          <w:sz w:val="24"/>
          <w:szCs w:val="24"/>
          <w:lang w:val="en-US"/>
        </w:rPr>
        <w:t>ing of</w:t>
      </w:r>
      <w:r w:rsidRPr="00F00421">
        <w:rPr>
          <w:sz w:val="24"/>
          <w:szCs w:val="24"/>
          <w:lang w:val="en-US"/>
        </w:rPr>
        <w:t xml:space="preserve"> loyalty as a </w:t>
      </w:r>
      <w:r w:rsidR="00F00421" w:rsidRPr="00F00421">
        <w:rPr>
          <w:sz w:val="24"/>
          <w:szCs w:val="24"/>
          <w:lang w:val="en-US"/>
        </w:rPr>
        <w:t>criterion</w:t>
      </w:r>
      <w:r w:rsidRPr="00F00421">
        <w:rPr>
          <w:sz w:val="24"/>
          <w:szCs w:val="24"/>
          <w:lang w:val="en-US"/>
        </w:rPr>
        <w:t xml:space="preserve"> of market position of a company that sells the product from the standpoint of certain regional scale.</w:t>
      </w:r>
      <w:r w:rsidR="00AC1AE6">
        <w:rPr>
          <w:sz w:val="24"/>
          <w:szCs w:val="24"/>
          <w:lang w:val="en-US"/>
        </w:rPr>
        <w:t xml:space="preserve"> </w:t>
      </w:r>
      <w:r w:rsidR="006A6062" w:rsidRPr="00F00421">
        <w:rPr>
          <w:sz w:val="24"/>
          <w:szCs w:val="24"/>
          <w:lang w:val="en-US"/>
        </w:rPr>
        <w:t>The article considers the possible methods of measuring loyalty i</w:t>
      </w:r>
      <w:r w:rsidR="00E21E60" w:rsidRPr="00F00421">
        <w:rPr>
          <w:sz w:val="24"/>
          <w:szCs w:val="24"/>
          <w:lang w:val="en-US"/>
        </w:rPr>
        <w:t>n the pharmaceutical industry. Authors outlined the main aspects of the analysis of the relationship between customer loyalty and pharmaceutical industry professionals.</w:t>
      </w:r>
    </w:p>
    <w:p w:rsidR="006E33D1" w:rsidRDefault="006E33D1" w:rsidP="006A6062">
      <w:pPr>
        <w:spacing w:line="360" w:lineRule="auto"/>
        <w:ind w:firstLine="709"/>
        <w:rPr>
          <w:sz w:val="24"/>
          <w:szCs w:val="24"/>
          <w:lang w:val="en-US"/>
        </w:rPr>
      </w:pPr>
      <w:r w:rsidRPr="006E33D1">
        <w:rPr>
          <w:b/>
          <w:sz w:val="24"/>
          <w:szCs w:val="24"/>
          <w:lang w:val="en-US"/>
        </w:rPr>
        <w:t>Keywords:</w:t>
      </w:r>
      <w:r w:rsidRPr="006E33D1">
        <w:rPr>
          <w:sz w:val="24"/>
          <w:szCs w:val="24"/>
          <w:lang w:val="en-US"/>
        </w:rPr>
        <w:t xml:space="preserve"> pharmaceutical industry, loyalty of employees, customer loyalty.</w:t>
      </w:r>
    </w:p>
    <w:p w:rsidR="006E33D1" w:rsidRDefault="006E33D1" w:rsidP="006A6062">
      <w:pPr>
        <w:spacing w:line="360" w:lineRule="auto"/>
        <w:ind w:firstLine="709"/>
        <w:rPr>
          <w:sz w:val="24"/>
          <w:szCs w:val="24"/>
          <w:lang w:val="en-US"/>
        </w:rPr>
      </w:pPr>
    </w:p>
    <w:p w:rsidR="001948B3" w:rsidRDefault="001948B3" w:rsidP="006A6062">
      <w:pPr>
        <w:spacing w:line="360" w:lineRule="auto"/>
        <w:ind w:firstLine="709"/>
      </w:pPr>
      <w:r>
        <w:t>Вимірювання лояльності</w:t>
      </w:r>
      <w:r w:rsidR="00564833">
        <w:t xml:space="preserve"> </w:t>
      </w:r>
      <w:r w:rsidR="00FC55E6">
        <w:t xml:space="preserve">споживачів та фахівців </w:t>
      </w:r>
      <w:r>
        <w:t xml:space="preserve">завжди залишається актуальним питанням, адже воно не тільки </w:t>
      </w:r>
      <w:r w:rsidR="002157CA">
        <w:t>представляє собою питання наукового характеру, а й цікавить представників прикладного</w:t>
      </w:r>
      <w:r w:rsidR="00FC55E6">
        <w:t>, у тому числі й</w:t>
      </w:r>
      <w:r w:rsidR="002157CA">
        <w:t xml:space="preserve"> </w:t>
      </w:r>
      <w:r w:rsidR="00FC55E6">
        <w:t xml:space="preserve">фармацевтичного </w:t>
      </w:r>
      <w:r w:rsidR="002157CA">
        <w:t xml:space="preserve">менеджменту. Розвиток методів дослідження та обробки соціологічних даних дає поштовх і до більш активного та динамічного дослідження лояльності як одного з мірил позиції на ринку того чи іншого підприємства, що реалізує продукт з позицій певних територіальних масштабів. Крім того, економічна сучасність демонструє динамічні зміни не тільки у методах статистичного аналізу і перерозподілу конкуруючих позицій у межах того чи іншого досліджуваного ринку, а й спонукає до мінімізації масштабів </w:t>
      </w:r>
      <w:r w:rsidR="00572768">
        <w:t xml:space="preserve">та </w:t>
      </w:r>
      <w:r w:rsidR="00572768">
        <w:lastRenderedPageBreak/>
        <w:t xml:space="preserve">бюджету </w:t>
      </w:r>
      <w:r w:rsidR="002157CA">
        <w:t>досліджень</w:t>
      </w:r>
      <w:r w:rsidR="00572768">
        <w:t>, можливість досягнення чого, на нашу думку, досяга</w:t>
      </w:r>
      <w:r w:rsidR="00D8433E">
        <w:t>є</w:t>
      </w:r>
      <w:r w:rsidR="00572768">
        <w:t>ться завдяки запереченню принципів універсальності досліджень лояльності за допомогою однієї методики у кількох галузях економіки</w:t>
      </w:r>
      <w:r w:rsidR="00FE5D4C">
        <w:t>.</w:t>
      </w:r>
      <w:r w:rsidR="00572768">
        <w:t xml:space="preserve"> Тому, в контексті даного дослідження важливим є акцент на досягнення високої валідності методик дослідження лояльності у межах фармацевтичної галузі.</w:t>
      </w:r>
    </w:p>
    <w:p w:rsidR="00F8128F" w:rsidRDefault="00BF0079" w:rsidP="006A6062">
      <w:pPr>
        <w:spacing w:line="360" w:lineRule="auto"/>
        <w:ind w:firstLine="709"/>
      </w:pPr>
      <w:r w:rsidRPr="00E21E60">
        <w:rPr>
          <w:b/>
        </w:rPr>
        <w:t>Мет</w:t>
      </w:r>
      <w:r w:rsidR="003D163D" w:rsidRPr="00E21E60">
        <w:rPr>
          <w:b/>
        </w:rPr>
        <w:t>ою роботи</w:t>
      </w:r>
      <w:r w:rsidR="003D163D">
        <w:t xml:space="preserve"> є</w:t>
      </w:r>
      <w:r w:rsidR="007E134C">
        <w:t xml:space="preserve"> визнач</w:t>
      </w:r>
      <w:r w:rsidR="003D163D">
        <w:t>ення</w:t>
      </w:r>
      <w:r w:rsidR="007E134C">
        <w:t xml:space="preserve"> найбільш валідн</w:t>
      </w:r>
      <w:r w:rsidR="003D163D">
        <w:t>их</w:t>
      </w:r>
      <w:r w:rsidR="007E134C">
        <w:t xml:space="preserve"> </w:t>
      </w:r>
      <w:r w:rsidR="003D163D">
        <w:t>для фармацевтичної галузі методик</w:t>
      </w:r>
      <w:r w:rsidR="007E134C">
        <w:t xml:space="preserve"> дослідження споживацької лояльності. </w:t>
      </w:r>
    </w:p>
    <w:p w:rsidR="00BF0079" w:rsidRDefault="00F8128F" w:rsidP="00AC1AE6">
      <w:pPr>
        <w:spacing w:line="360" w:lineRule="auto"/>
        <w:ind w:firstLine="709"/>
      </w:pPr>
      <w:r w:rsidRPr="00E21E60">
        <w:rPr>
          <w:b/>
        </w:rPr>
        <w:t>З</w:t>
      </w:r>
      <w:r w:rsidR="00BF0079" w:rsidRPr="00E21E60">
        <w:rPr>
          <w:b/>
        </w:rPr>
        <w:t>авдан</w:t>
      </w:r>
      <w:r w:rsidRPr="00E21E60">
        <w:rPr>
          <w:b/>
        </w:rPr>
        <w:t>ня досліджень</w:t>
      </w:r>
      <w:r>
        <w:t>:</w:t>
      </w:r>
      <w:r w:rsidR="00AC1AE6" w:rsidRPr="00AC1AE6">
        <w:t xml:space="preserve"> </w:t>
      </w:r>
      <w:r w:rsidR="007E134C">
        <w:t>проаналізувати сучасні публікації, що пропонують методи</w:t>
      </w:r>
      <w:r>
        <w:t>ки</w:t>
      </w:r>
      <w:r w:rsidR="007E134C">
        <w:t xml:space="preserve"> вимірювання лояльності; запропонувати об’єктивні методики дослідження споживацької лояльності</w:t>
      </w:r>
      <w:r>
        <w:t xml:space="preserve"> для використання їх у фармацевтичній галузі.</w:t>
      </w:r>
    </w:p>
    <w:p w:rsidR="00146C3B" w:rsidRDefault="00BF0079" w:rsidP="006A6062">
      <w:pPr>
        <w:spacing w:line="360" w:lineRule="auto"/>
        <w:ind w:firstLine="709"/>
      </w:pPr>
      <w:r w:rsidRPr="00E21E60">
        <w:rPr>
          <w:b/>
        </w:rPr>
        <w:t>Методи дослідження</w:t>
      </w:r>
      <w:r w:rsidR="00146C3B">
        <w:t>:</w:t>
      </w:r>
    </w:p>
    <w:p w:rsidR="00146C3B" w:rsidRDefault="00E21E60" w:rsidP="004074A0">
      <w:pPr>
        <w:pStyle w:val="a5"/>
        <w:numPr>
          <w:ilvl w:val="0"/>
          <w:numId w:val="2"/>
        </w:numPr>
        <w:spacing w:line="360" w:lineRule="auto"/>
        <w:ind w:left="284"/>
      </w:pPr>
      <w:r>
        <w:t>К</w:t>
      </w:r>
      <w:r w:rsidR="001948B3">
        <w:t>онтент-аналіз</w:t>
      </w:r>
      <w:r w:rsidR="00146C3B">
        <w:t>. Застосування методу рекомендується в усіх випадках, коли потрібен високий ступінь точ</w:t>
      </w:r>
      <w:r w:rsidR="006F766A">
        <w:t xml:space="preserve">ності чи об'єктивності аналізу </w:t>
      </w:r>
      <w:r w:rsidR="00146C3B" w:rsidRPr="00146C3B">
        <w:t>[</w:t>
      </w:r>
      <w:r w:rsidR="00E00085" w:rsidRPr="006F766A">
        <w:t>3</w:t>
      </w:r>
      <w:r w:rsidR="00146C3B" w:rsidRPr="00146C3B">
        <w:t>]</w:t>
      </w:r>
      <w:r w:rsidR="009A2752" w:rsidRPr="006F766A">
        <w:t>.</w:t>
      </w:r>
    </w:p>
    <w:p w:rsidR="00BF0079" w:rsidRDefault="00E21E60" w:rsidP="004074A0">
      <w:pPr>
        <w:pStyle w:val="a5"/>
        <w:numPr>
          <w:ilvl w:val="0"/>
          <w:numId w:val="2"/>
        </w:numPr>
        <w:spacing w:line="360" w:lineRule="auto"/>
        <w:ind w:left="284"/>
      </w:pPr>
      <w:r>
        <w:t>К</w:t>
      </w:r>
      <w:r w:rsidR="00014B1F">
        <w:t xml:space="preserve">ласичний </w:t>
      </w:r>
      <w:r w:rsidR="001948B3">
        <w:t>метод аналізу документів</w:t>
      </w:r>
      <w:r w:rsidR="00014B1F" w:rsidRPr="00014B1F">
        <w:t>. Під ним розуміється вся багатомірність розумових операцій, спрямована на інтерпретацію даних, як</w:t>
      </w:r>
      <w:r w:rsidR="00AC1AE6">
        <w:t xml:space="preserve">і складають зміст у документах </w:t>
      </w:r>
      <w:r w:rsidR="00014B1F" w:rsidRPr="00E00085">
        <w:rPr>
          <w:lang w:val="ru-RU"/>
        </w:rPr>
        <w:t>[</w:t>
      </w:r>
      <w:r w:rsidR="00E00085">
        <w:rPr>
          <w:lang w:val="ru-RU"/>
        </w:rPr>
        <w:t>7</w:t>
      </w:r>
      <w:r w:rsidR="00014B1F" w:rsidRPr="00E00085">
        <w:rPr>
          <w:lang w:val="ru-RU"/>
        </w:rPr>
        <w:t>]</w:t>
      </w:r>
      <w:r w:rsidR="00E00085">
        <w:rPr>
          <w:lang w:val="ru-RU"/>
        </w:rPr>
        <w:t>.</w:t>
      </w:r>
    </w:p>
    <w:p w:rsidR="007E134C" w:rsidRDefault="00BF0079" w:rsidP="006A6062">
      <w:pPr>
        <w:spacing w:line="360" w:lineRule="auto"/>
        <w:ind w:firstLine="709"/>
      </w:pPr>
      <w:r>
        <w:t>Аналіз попередніх досліджень</w:t>
      </w:r>
      <w:r w:rsidR="007E134C" w:rsidRPr="007E134C">
        <w:t xml:space="preserve"> </w:t>
      </w:r>
      <w:r w:rsidR="008B2278">
        <w:t xml:space="preserve">показав, що </w:t>
      </w:r>
      <w:r w:rsidR="008B2278" w:rsidRPr="008B2278">
        <w:t>проблемі дослідження лояльності приділяється велика ув</w:t>
      </w:r>
      <w:r w:rsidR="008B2278">
        <w:t>ага у працях закордонних вчених</w:t>
      </w:r>
      <w:r w:rsidR="008B2278" w:rsidRPr="008B2278">
        <w:t>, серед яких такі відомі вчені як Г. Беккер, Л. Джуел, Д. Геберт, Л. Розенштіль, Л. Портер, Д. Мейєр, Н. Аллен, В.І. Доміняк, К.В. Харський, Л.Г. Почебут, М.І. Магура та поряд з тим ця проблема є недостатньо вивченою вченими в умовах сучасної фармацевтичної галузі України. Крім того, відсутні комплексні дослідження, що демонструють взаємозв’язок лояльності фармацевтичних фахівців та конкретних економічних показників діяльності підприємства, а також взаємозалежність між лояльністю фармацевтичних фахівців та показниками лояльності споживачів фармацевтичних закладів.</w:t>
      </w:r>
    </w:p>
    <w:p w:rsidR="009D69EC" w:rsidRDefault="00D8433E" w:rsidP="006A6062">
      <w:pPr>
        <w:spacing w:line="360" w:lineRule="auto"/>
        <w:ind w:firstLine="709"/>
      </w:pPr>
      <w:r>
        <w:t>Б</w:t>
      </w:r>
      <w:r w:rsidR="008B2278">
        <w:t>ільшість досліджень опираються на використання такого методу дослідження як анкетування, саме тому д</w:t>
      </w:r>
      <w:r w:rsidR="009D69EC">
        <w:t xml:space="preserve">ослідження </w:t>
      </w:r>
      <w:r w:rsidR="00564833">
        <w:t xml:space="preserve">працівників </w:t>
      </w:r>
      <w:r w:rsidR="009D69EC">
        <w:t>фармацевтичної галузі</w:t>
      </w:r>
      <w:r w:rsidR="003E3F77">
        <w:t>,</w:t>
      </w:r>
      <w:r w:rsidR="009D69EC">
        <w:t xml:space="preserve"> як і інших галузей економіки</w:t>
      </w:r>
      <w:r w:rsidR="003E3F77">
        <w:t>,</w:t>
      </w:r>
      <w:r w:rsidR="009D69EC">
        <w:t xml:space="preserve"> найбільш доцільно </w:t>
      </w:r>
      <w:r w:rsidR="009D69EC">
        <w:lastRenderedPageBreak/>
        <w:t xml:space="preserve">проводити, використовуючи </w:t>
      </w:r>
      <w:r w:rsidR="00AC1AE6">
        <w:t xml:space="preserve">метод анкетування та опитування </w:t>
      </w:r>
      <w:r w:rsidR="004D3F54" w:rsidRPr="004D3F54">
        <w:t>[</w:t>
      </w:r>
      <w:r w:rsidR="00E00085" w:rsidRPr="00E00085">
        <w:t>1</w:t>
      </w:r>
      <w:r w:rsidR="004D3F54" w:rsidRPr="004D3F54">
        <w:t xml:space="preserve">]. </w:t>
      </w:r>
      <w:r w:rsidR="00906A1F" w:rsidRPr="00906A1F">
        <w:t>Інструментарій, яким користуються при таких дослідженнях, досить простий: як правило, це різні форми опитувальників. Серед них є оригінальні розробки</w:t>
      </w:r>
      <w:r>
        <w:t xml:space="preserve"> та</w:t>
      </w:r>
      <w:r w:rsidR="00906A1F" w:rsidRPr="00906A1F">
        <w:t xml:space="preserve"> «брендові» інструменти, наприклад, відомий Gallup's 12 </w:t>
      </w:r>
      <w:r w:rsidR="00857E6C" w:rsidRPr="00857E6C">
        <w:t>[</w:t>
      </w:r>
      <w:r w:rsidR="00E00085" w:rsidRPr="00E00085">
        <w:t>2</w:t>
      </w:r>
      <w:hyperlink r:id="rId7" w:history="1"/>
      <w:r w:rsidR="00857E6C" w:rsidRPr="00857E6C">
        <w:t xml:space="preserve">]. </w:t>
      </w:r>
      <w:r w:rsidR="00857E6C">
        <w:t xml:space="preserve">Останній, не дивлячись на більш ніж мільйонну кількість респондентів, можливо через відсутність алгоритмів аналізу причин того чи іншого </w:t>
      </w:r>
      <w:r w:rsidR="00564833">
        <w:t>рівня лояльності</w:t>
      </w:r>
      <w:r>
        <w:t>,</w:t>
      </w:r>
      <w:r w:rsidR="00857E6C">
        <w:t xml:space="preserve"> жорстко розкритикований Дж. Зенгером на сторінках видання Форбс </w:t>
      </w:r>
      <w:r w:rsidR="00857E6C" w:rsidRPr="00857E6C">
        <w:t>[</w:t>
      </w:r>
      <w:r w:rsidR="00E00085" w:rsidRPr="00D8433E">
        <w:t>12</w:t>
      </w:r>
      <w:r w:rsidR="00857E6C" w:rsidRPr="00857E6C">
        <w:t>]</w:t>
      </w:r>
      <w:r w:rsidR="00E00085">
        <w:t>.</w:t>
      </w:r>
    </w:p>
    <w:p w:rsidR="00A725CA" w:rsidRDefault="009902EA" w:rsidP="006A6062">
      <w:pPr>
        <w:spacing w:line="360" w:lineRule="auto"/>
        <w:ind w:firstLine="709"/>
      </w:pPr>
      <w:r>
        <w:t>Завдання дослідження передбачають пошук об’єктивних інструментів вимірювання лояльності, яка у свою чергу опирається на велику кількість якісних нечислових даних</w:t>
      </w:r>
      <w:r w:rsidR="00AC1AE6" w:rsidRPr="00AC1AE6">
        <w:t xml:space="preserve">. </w:t>
      </w:r>
      <w:r>
        <w:t xml:space="preserve">Для вимірювання лояльності співробітників </w:t>
      </w:r>
      <w:r w:rsidR="00E21E60">
        <w:t>доцільно використовувати</w:t>
      </w:r>
      <w:r>
        <w:t xml:space="preserve"> анкету, що опирається на розробку Ф. </w:t>
      </w:r>
      <w:r w:rsidRPr="009902EA">
        <w:t>Райчелд</w:t>
      </w:r>
      <w:r>
        <w:t xml:space="preserve">а </w:t>
      </w:r>
      <w:r w:rsidR="00315465" w:rsidRPr="00315465">
        <w:t>[</w:t>
      </w:r>
      <w:r w:rsidR="00E00085" w:rsidRPr="00E00085">
        <w:t>8</w:t>
      </w:r>
      <w:r w:rsidR="00315465" w:rsidRPr="00315465">
        <w:t>]</w:t>
      </w:r>
      <w:r w:rsidR="00AC1AE6">
        <w:t xml:space="preserve"> </w:t>
      </w:r>
      <w:r>
        <w:t>та блоку визначення набору показників, які визначають лоя</w:t>
      </w:r>
      <w:r w:rsidR="00567FA0">
        <w:t xml:space="preserve">льність фармацевтичних фахівців. </w:t>
      </w:r>
      <w:r w:rsidR="00A725CA">
        <w:t>Відношення респондентів до обраних показників доцільно досліджувати за 10-бальною шкалою відношень, що є найбільш поширеним методом серед аналогічних досліджень за кордоном.</w:t>
      </w:r>
      <w:r w:rsidR="00AC1AE6" w:rsidRPr="00AC1AE6">
        <w:rPr>
          <w:lang w:val="ru-RU"/>
        </w:rPr>
        <w:t xml:space="preserve"> </w:t>
      </w:r>
      <w:r w:rsidR="00E21E60">
        <w:t>Одним із методів в</w:t>
      </w:r>
      <w:r w:rsidR="00567FA0">
        <w:t xml:space="preserve">имірювання лояльності споживачів </w:t>
      </w:r>
      <w:r w:rsidR="00E21E60">
        <w:t xml:space="preserve">є аналіз </w:t>
      </w:r>
      <w:r w:rsidR="00567FA0">
        <w:t xml:space="preserve"> за рекомендаціями </w:t>
      </w:r>
      <w:r w:rsidR="00567FA0" w:rsidRPr="00567FA0">
        <w:t>European Customer Satisfaction Index</w:t>
      </w:r>
      <w:r w:rsidR="00567FA0">
        <w:t xml:space="preserve"> </w:t>
      </w:r>
      <w:r w:rsidR="00E21E60">
        <w:t xml:space="preserve">з використанням адаптованого </w:t>
      </w:r>
      <w:r w:rsidR="0090054D">
        <w:t>набо</w:t>
      </w:r>
      <w:r w:rsidR="00567FA0">
        <w:t>р</w:t>
      </w:r>
      <w:r w:rsidR="00E21E60">
        <w:t>у</w:t>
      </w:r>
      <w:r w:rsidR="00567FA0">
        <w:t xml:space="preserve"> показників для вимірювання задоволеності та лояльності, обробка отриманих анкет</w:t>
      </w:r>
      <w:r w:rsidR="00E21E60">
        <w:t>них даних</w:t>
      </w:r>
      <w:r w:rsidR="00567FA0">
        <w:t xml:space="preserve"> з ранговою шкалою м</w:t>
      </w:r>
      <w:r w:rsidR="00E21E60">
        <w:t>оже</w:t>
      </w:r>
      <w:r w:rsidR="00567FA0">
        <w:t xml:space="preserve"> проводитися </w:t>
      </w:r>
      <w:r w:rsidR="00567FA0" w:rsidRPr="00567FA0">
        <w:t>за допомогою метод</w:t>
      </w:r>
      <w:r w:rsidR="00A725CA">
        <w:t>ів описової статистики</w:t>
      </w:r>
      <w:r w:rsidR="00567FA0">
        <w:t xml:space="preserve">. </w:t>
      </w:r>
    </w:p>
    <w:p w:rsidR="00855FFC" w:rsidRPr="00855FFC" w:rsidRDefault="004778B2" w:rsidP="006A6062">
      <w:pPr>
        <w:spacing w:line="360" w:lineRule="auto"/>
        <w:ind w:firstLine="709"/>
        <w:rPr>
          <w:lang w:val="ru-RU"/>
        </w:rPr>
      </w:pPr>
      <w:r>
        <w:t xml:space="preserve">Крім того, комплексне дослідження лояльності у фармацевтичній галузі передбачає визначення взаємозв’язків між лояльністю споживачів та фармацевтичних фахівців. </w:t>
      </w:r>
      <w:r w:rsidR="00D54592">
        <w:t>Складність аналізу полягає у визначенні взаємозалежності між якісними (нечисловими) змінними. О</w:t>
      </w:r>
      <w:r w:rsidR="00D54592" w:rsidRPr="00D54592">
        <w:t>б'єктами нечислової природи називають елементи просторів, які не є лінійними. Прикладами є бінарні відношення (ранжування, розбиття, толерантності),</w:t>
      </w:r>
      <w:r w:rsidR="00D54592">
        <w:t xml:space="preserve"> </w:t>
      </w:r>
      <w:r w:rsidR="00D54592" w:rsidRPr="00D54592">
        <w:t>множини, послідовності символів (тексти). Об'єкти нечислової природи не можна складати і множити на числа, не втрачаючи при цьому змістовного сенсу</w:t>
      </w:r>
      <w:r w:rsidR="00D54592">
        <w:t>, чим</w:t>
      </w:r>
      <w:r w:rsidR="00D54592" w:rsidRPr="00D54592">
        <w:t xml:space="preserve"> вони відрізняються від здавна використовуваних в прикладній статистиці (в якості елементів вибірок) чисел, векторів і функцій</w:t>
      </w:r>
      <w:r w:rsidR="00D54592">
        <w:t xml:space="preserve"> </w:t>
      </w:r>
      <w:r w:rsidR="00D54592" w:rsidRPr="00567FA0">
        <w:rPr>
          <w:lang w:val="ru-RU"/>
        </w:rPr>
        <w:t>[</w:t>
      </w:r>
      <w:r w:rsidR="00E00085">
        <w:rPr>
          <w:lang w:val="ru-RU"/>
        </w:rPr>
        <w:t>4</w:t>
      </w:r>
      <w:r w:rsidR="00D54592" w:rsidRPr="00567FA0">
        <w:rPr>
          <w:lang w:val="ru-RU"/>
        </w:rPr>
        <w:t>]</w:t>
      </w:r>
      <w:r w:rsidR="00D54592" w:rsidRPr="00567FA0">
        <w:t>.</w:t>
      </w:r>
      <w:r w:rsidR="00AC1AE6" w:rsidRPr="00AC1AE6">
        <w:rPr>
          <w:lang w:val="ru-RU"/>
        </w:rPr>
        <w:t xml:space="preserve"> </w:t>
      </w:r>
      <w:r w:rsidR="00D54592">
        <w:t xml:space="preserve">Для отримання найбільш об’єктивної картини у </w:t>
      </w:r>
      <w:r w:rsidR="00D54592">
        <w:lastRenderedPageBreak/>
        <w:t>дослідженнях використовуються такі методи числової статистики як дисперсійний аналіз та статистичні критерії відмінностей між групами. Фактично одновимірний статистичний аналіз</w:t>
      </w:r>
      <w:r w:rsidR="00855FFC">
        <w:t xml:space="preserve"> отриманих експериментальних даних зводиться до порівняння частотних розподілів або середніх величин між групами і дослідник втрачає можливість вивчення та контролю, вплив яких вважався явним чи опосередкованим (як, наприклад, психологічні чи вікові фактори) </w:t>
      </w:r>
      <w:r w:rsidR="00855FFC" w:rsidRPr="00855FFC">
        <w:t>[</w:t>
      </w:r>
      <w:r w:rsidR="00E00085">
        <w:rPr>
          <w:lang w:val="ru-RU"/>
        </w:rPr>
        <w:t>5</w:t>
      </w:r>
      <w:r w:rsidR="00855FFC" w:rsidRPr="00855FFC">
        <w:rPr>
          <w:lang w:val="ru-RU"/>
        </w:rPr>
        <w:t>]</w:t>
      </w:r>
      <w:r w:rsidR="00E00085">
        <w:rPr>
          <w:lang w:val="ru-RU"/>
        </w:rPr>
        <w:t>.</w:t>
      </w:r>
    </w:p>
    <w:p w:rsidR="00855FFC" w:rsidRPr="00864C35" w:rsidRDefault="00864C35" w:rsidP="006A6062">
      <w:pPr>
        <w:spacing w:line="360" w:lineRule="auto"/>
        <w:ind w:firstLine="709"/>
      </w:pPr>
      <w:r w:rsidRPr="00864C35">
        <w:t xml:space="preserve">Крім того, дослідження </w:t>
      </w:r>
      <w:r>
        <w:t xml:space="preserve">у середовищі наук, що опираються на розглядання явищ як складних динамічних самоорганізованих систем, опираються на відповідний математичний апарат, де одним із сучасних математичних методів є структурне моделювання </w:t>
      </w:r>
      <w:r w:rsidRPr="00864C35">
        <w:rPr>
          <w:lang w:val="ru-RU"/>
        </w:rPr>
        <w:t>[</w:t>
      </w:r>
      <w:r w:rsidR="00E00085">
        <w:rPr>
          <w:lang w:val="ru-RU"/>
        </w:rPr>
        <w:t>6</w:t>
      </w:r>
      <w:r w:rsidRPr="00864C35">
        <w:rPr>
          <w:lang w:val="ru-RU"/>
        </w:rPr>
        <w:t>]</w:t>
      </w:r>
      <w:r w:rsidR="00E00085">
        <w:rPr>
          <w:lang w:val="ru-RU"/>
        </w:rPr>
        <w:t>.</w:t>
      </w:r>
      <w:r w:rsidR="00AC1AE6" w:rsidRPr="00AC1AE6">
        <w:rPr>
          <w:lang w:val="ru-RU"/>
        </w:rPr>
        <w:t xml:space="preserve"> </w:t>
      </w:r>
      <w:r w:rsidR="005F62CB">
        <w:t>Численні дослідження взаємозв’язків лояльності з іншими суб’єктивними показниками робітників за кордоном демонструють переконливі результати доцільності використання методів структурного моделювання для дослідження лояльності</w:t>
      </w:r>
      <w:r w:rsidR="005172A2">
        <w:t xml:space="preserve"> </w:t>
      </w:r>
      <w:r w:rsidR="005172A2" w:rsidRPr="005172A2">
        <w:rPr>
          <w:lang w:val="ru-RU"/>
        </w:rPr>
        <w:t>[</w:t>
      </w:r>
      <w:r w:rsidR="00E00085">
        <w:rPr>
          <w:lang w:val="ru-RU"/>
        </w:rPr>
        <w:t>9-11</w:t>
      </w:r>
      <w:r w:rsidR="005172A2" w:rsidRPr="00E00085">
        <w:rPr>
          <w:lang w:val="ru-RU"/>
        </w:rPr>
        <w:t>]</w:t>
      </w:r>
      <w:r w:rsidR="005F62CB">
        <w:t xml:space="preserve">. </w:t>
      </w:r>
    </w:p>
    <w:p w:rsidR="00567FA0" w:rsidRDefault="00E970A7" w:rsidP="006A6062">
      <w:pPr>
        <w:spacing w:line="360" w:lineRule="auto"/>
        <w:ind w:firstLine="709"/>
      </w:pPr>
      <w:r>
        <w:t xml:space="preserve">Висновки. Таким чином, </w:t>
      </w:r>
      <w:r w:rsidRPr="00E970A7">
        <w:t>метод</w:t>
      </w:r>
      <w:r>
        <w:t>и</w:t>
      </w:r>
      <w:r w:rsidRPr="00E970A7">
        <w:t xml:space="preserve"> дослідження та аналізу лояльності у роздрібному секторі фармацевтичної галузі</w:t>
      </w:r>
      <w:r>
        <w:t xml:space="preserve"> </w:t>
      </w:r>
      <w:r w:rsidRPr="00E970A7">
        <w:t>потребують подальшого поглибленого розгляду</w:t>
      </w:r>
      <w:r>
        <w:t xml:space="preserve"> та вдосконалення. Головним напрямком з окреслених вважаємо методи структурного моделювання, які дозволяють не тільки поглиблено аналізувати якісні показники, але й оцінювати зв’язки між ними. Крім того, за їх допомогою можливо оцінювати ступінь впливу кожної зі змінних на оцінюваний параметр, що у свою чергу сприятиме більшій популяризації методу, завдяки можливості використання для прийняття ефективних управлінських рішень.</w:t>
      </w:r>
    </w:p>
    <w:p w:rsidR="006E33D1" w:rsidRPr="00D8433E" w:rsidRDefault="006E33D1" w:rsidP="006A6062">
      <w:pPr>
        <w:spacing w:line="360" w:lineRule="auto"/>
        <w:ind w:firstLine="709"/>
      </w:pPr>
    </w:p>
    <w:p w:rsidR="00E970A7" w:rsidRPr="006E33D1" w:rsidRDefault="009A2752" w:rsidP="00B05F2B">
      <w:pPr>
        <w:spacing w:line="360" w:lineRule="auto"/>
        <w:jc w:val="center"/>
        <w:rPr>
          <w:b/>
        </w:rPr>
      </w:pPr>
      <w:r>
        <w:rPr>
          <w:b/>
          <w:bCs/>
          <w:iCs/>
        </w:rPr>
        <w:t>REFERENCES</w:t>
      </w:r>
    </w:p>
    <w:p w:rsidR="00CD5C34" w:rsidRDefault="00CD5C34" w:rsidP="00B05F2B">
      <w:pPr>
        <w:pStyle w:val="a5"/>
        <w:numPr>
          <w:ilvl w:val="0"/>
          <w:numId w:val="3"/>
        </w:numPr>
        <w:spacing w:line="360" w:lineRule="auto"/>
      </w:pPr>
      <w:r>
        <w:t>Григорчук Т. В.</w:t>
      </w:r>
      <w:r w:rsidRPr="00D107CF">
        <w:t xml:space="preserve"> </w:t>
      </w:r>
      <w:r>
        <w:t>Маркетинг. Частина друга</w:t>
      </w:r>
      <w:r w:rsidRPr="00D107CF">
        <w:t xml:space="preserve"> </w:t>
      </w:r>
      <w:r w:rsidRPr="00334AB6">
        <w:t xml:space="preserve">[Електронний ресурс] : </w:t>
      </w:r>
      <w:r w:rsidRPr="00D107CF">
        <w:t xml:space="preserve">Університет "Україна", </w:t>
      </w:r>
      <w:r>
        <w:t xml:space="preserve">Київ. - </w:t>
      </w:r>
      <w:r w:rsidRPr="00D107CF">
        <w:t>2007</w:t>
      </w:r>
      <w:r w:rsidRPr="00334AB6">
        <w:t>. – (дата звернення: 20.07.2014).</w:t>
      </w:r>
    </w:p>
    <w:p w:rsidR="00CD5C34" w:rsidRPr="00CD5C34" w:rsidRDefault="00CD5C34" w:rsidP="00B05F2B">
      <w:pPr>
        <w:pStyle w:val="a5"/>
        <w:numPr>
          <w:ilvl w:val="0"/>
          <w:numId w:val="3"/>
        </w:numPr>
        <w:spacing w:line="360" w:lineRule="auto"/>
        <w:rPr>
          <w:lang w:val="ru-RU"/>
        </w:rPr>
      </w:pPr>
      <w:r w:rsidRPr="00334AB6">
        <w:t>Ж</w:t>
      </w:r>
      <w:r>
        <w:t xml:space="preserve">уков Д. </w:t>
      </w:r>
      <w:r w:rsidRPr="00334AB6">
        <w:t>Підбор кадрів: Чи можна спрогнозувати лояльність на етапі підбору?</w:t>
      </w:r>
      <w:r>
        <w:t xml:space="preserve"> </w:t>
      </w:r>
      <w:r w:rsidRPr="00334AB6">
        <w:t>[Електронний ресурс] :</w:t>
      </w:r>
      <w:r>
        <w:t xml:space="preserve"> Портал Право </w:t>
      </w:r>
      <w:r w:rsidRPr="00CD5C34">
        <w:rPr>
          <w:lang w:val="ru-RU"/>
        </w:rPr>
        <w:t>Украины. – (дата звернення: 20.07.2014).</w:t>
      </w:r>
    </w:p>
    <w:p w:rsidR="00CD5C34" w:rsidRDefault="00CD5C34" w:rsidP="00B05F2B">
      <w:pPr>
        <w:pStyle w:val="a5"/>
        <w:numPr>
          <w:ilvl w:val="0"/>
          <w:numId w:val="3"/>
        </w:numPr>
        <w:spacing w:line="360" w:lineRule="auto"/>
      </w:pPr>
      <w:r w:rsidRPr="00E970A7">
        <w:lastRenderedPageBreak/>
        <w:t>Іванов В. Ф. Принципи й умови контент-аналізу та вимоги до нього</w:t>
      </w:r>
      <w:r>
        <w:t xml:space="preserve"> </w:t>
      </w:r>
      <w:r w:rsidRPr="00CD5C34">
        <w:rPr>
          <w:lang w:val="ru-RU"/>
        </w:rPr>
        <w:t>[</w:t>
      </w:r>
      <w:r>
        <w:t>Електронний ресурс</w:t>
      </w:r>
      <w:r w:rsidRPr="00CD5C34">
        <w:rPr>
          <w:lang w:val="ru-RU"/>
        </w:rPr>
        <w:t>]</w:t>
      </w:r>
      <w:r w:rsidRPr="00E970A7">
        <w:t xml:space="preserve"> </w:t>
      </w:r>
      <w:r>
        <w:t>: Е</w:t>
      </w:r>
      <w:r w:rsidRPr="00E970A7">
        <w:t>лектронн</w:t>
      </w:r>
      <w:r>
        <w:t>а</w:t>
      </w:r>
      <w:r w:rsidRPr="00E970A7">
        <w:t xml:space="preserve"> бібліотек</w:t>
      </w:r>
      <w:r>
        <w:t>а</w:t>
      </w:r>
      <w:r w:rsidRPr="00E970A7">
        <w:t xml:space="preserve"> Інституту журналістики </w:t>
      </w:r>
      <w:r w:rsidRPr="00D107CF">
        <w:t>. – (дата звернення: 20.0</w:t>
      </w:r>
      <w:r>
        <w:t>7</w:t>
      </w:r>
      <w:r w:rsidRPr="00D107CF">
        <w:t>.2014)</w:t>
      </w:r>
      <w:r>
        <w:t>.</w:t>
      </w:r>
    </w:p>
    <w:p w:rsidR="00CD5C34" w:rsidRPr="00CD5C34" w:rsidRDefault="00CD5C34" w:rsidP="00B05F2B">
      <w:pPr>
        <w:pStyle w:val="a5"/>
        <w:numPr>
          <w:ilvl w:val="0"/>
          <w:numId w:val="3"/>
        </w:numPr>
        <w:spacing w:line="360" w:lineRule="auto"/>
        <w:rPr>
          <w:lang w:val="ru-RU"/>
        </w:rPr>
      </w:pPr>
      <w:r w:rsidRPr="00CD5C34">
        <w:rPr>
          <w:lang w:val="ru-RU"/>
        </w:rPr>
        <w:t>Орлов А.И. Прикладная статистика М.: Издательство «Экзамен», 2004. - 656 с.</w:t>
      </w:r>
    </w:p>
    <w:p w:rsidR="00CD5C34" w:rsidRPr="00CD5C34" w:rsidRDefault="00CD5C34" w:rsidP="00B05F2B">
      <w:pPr>
        <w:pStyle w:val="a5"/>
        <w:numPr>
          <w:ilvl w:val="0"/>
          <w:numId w:val="3"/>
        </w:numPr>
        <w:spacing w:line="360" w:lineRule="auto"/>
        <w:rPr>
          <w:lang w:val="ru-RU"/>
        </w:rPr>
      </w:pPr>
      <w:r w:rsidRPr="00CD5C34">
        <w:rPr>
          <w:lang w:val="ru-RU"/>
        </w:rPr>
        <w:t>Остапенко Р. И. Структурное моделирование в психологии и педагогике: Проблемы науки и образования. / Журнал «Перспективы науки и образования». – Вып. № 2 / 2013. – С.50.</w:t>
      </w:r>
    </w:p>
    <w:p w:rsidR="00CD5C34" w:rsidRPr="00CD5C34" w:rsidRDefault="00CD5C34" w:rsidP="00B05F2B">
      <w:pPr>
        <w:pStyle w:val="a5"/>
        <w:numPr>
          <w:ilvl w:val="0"/>
          <w:numId w:val="3"/>
        </w:numPr>
        <w:spacing w:line="360" w:lineRule="auto"/>
        <w:rPr>
          <w:lang w:val="ru-RU"/>
        </w:rPr>
      </w:pPr>
      <w:r w:rsidRPr="00CD5C34">
        <w:rPr>
          <w:lang w:val="ru-RU"/>
        </w:rPr>
        <w:t>Остапенко Р. И., Остапенко А. И. Использование методов моделирования структурными уравнениями в области управления / Журнал Государственный советник – Вып. № 4 / 2013. – С.113.</w:t>
      </w:r>
    </w:p>
    <w:p w:rsidR="00CD5C34" w:rsidRDefault="00CD5C34" w:rsidP="00B05F2B">
      <w:pPr>
        <w:pStyle w:val="a5"/>
        <w:numPr>
          <w:ilvl w:val="0"/>
          <w:numId w:val="3"/>
        </w:numPr>
        <w:spacing w:line="360" w:lineRule="auto"/>
      </w:pPr>
      <w:r w:rsidRPr="00014B1F">
        <w:t>Сірий В.Є. Соціологія. – К.: Атіка, 2004.- 480 с.</w:t>
      </w:r>
    </w:p>
    <w:p w:rsidR="00CD5C34" w:rsidRPr="002A2B24" w:rsidRDefault="00CD5C34" w:rsidP="00B05F2B">
      <w:pPr>
        <w:pStyle w:val="a5"/>
        <w:numPr>
          <w:ilvl w:val="0"/>
          <w:numId w:val="3"/>
        </w:numPr>
        <w:spacing w:line="360" w:lineRule="auto"/>
      </w:pPr>
      <w:r w:rsidRPr="00CD5C34">
        <w:t>Чичмели И.В. Концепция чистого индекса поддержки (</w:t>
      </w:r>
      <w:r w:rsidRPr="00CD5C34">
        <w:rPr>
          <w:lang w:val="en-US"/>
        </w:rPr>
        <w:t>Net</w:t>
      </w:r>
      <w:r w:rsidRPr="00CD5C34">
        <w:t xml:space="preserve"> </w:t>
      </w:r>
      <w:r w:rsidRPr="00CD5C34">
        <w:rPr>
          <w:lang w:val="en-US"/>
        </w:rPr>
        <w:t>Promoter</w:t>
      </w:r>
      <w:r w:rsidRPr="00CD5C34">
        <w:t xml:space="preserve"> </w:t>
      </w:r>
      <w:r w:rsidRPr="00CD5C34">
        <w:rPr>
          <w:lang w:val="en-US"/>
        </w:rPr>
        <w:t>Score</w:t>
      </w:r>
      <w:r w:rsidRPr="00CD5C34">
        <w:t xml:space="preserve">) </w:t>
      </w:r>
      <w:r w:rsidRPr="00334AB6">
        <w:t>[Електронний ресурс] :</w:t>
      </w:r>
      <w:r w:rsidR="002A2B24">
        <w:t xml:space="preserve"> «Менеджмент инноваций» </w:t>
      </w:r>
      <w:r w:rsidRPr="002A2B24">
        <w:t>(дата звернення: 20.07.2014).</w:t>
      </w:r>
    </w:p>
    <w:p w:rsidR="00CD5C34" w:rsidRPr="00CD5C34" w:rsidRDefault="00CD5C34" w:rsidP="00B05F2B">
      <w:pPr>
        <w:pStyle w:val="a5"/>
        <w:numPr>
          <w:ilvl w:val="0"/>
          <w:numId w:val="3"/>
        </w:numPr>
        <w:spacing w:line="360" w:lineRule="auto"/>
        <w:rPr>
          <w:lang w:val="en-US"/>
        </w:rPr>
      </w:pPr>
      <w:r w:rsidRPr="00CD5C34">
        <w:rPr>
          <w:lang w:val="en-US"/>
        </w:rPr>
        <w:t>Hoseong</w:t>
      </w:r>
      <w:r w:rsidRPr="002A2B24">
        <w:t xml:space="preserve"> </w:t>
      </w:r>
      <w:r w:rsidRPr="00CD5C34">
        <w:rPr>
          <w:lang w:val="en-US"/>
        </w:rPr>
        <w:t>Jeon</w:t>
      </w:r>
      <w:r w:rsidRPr="002A2B24">
        <w:t xml:space="preserve">, </w:t>
      </w:r>
      <w:r w:rsidRPr="00CD5C34">
        <w:rPr>
          <w:lang w:val="en-US"/>
        </w:rPr>
        <w:t>Beomjoon</w:t>
      </w:r>
      <w:r w:rsidRPr="002A2B24">
        <w:t xml:space="preserve"> </w:t>
      </w:r>
      <w:r w:rsidRPr="00CD5C34">
        <w:rPr>
          <w:lang w:val="en-US"/>
        </w:rPr>
        <w:t>Choi</w:t>
      </w:r>
      <w:r w:rsidRPr="002A2B24">
        <w:t>, "</w:t>
      </w:r>
      <w:r w:rsidRPr="00CD5C34">
        <w:rPr>
          <w:lang w:val="en-US"/>
        </w:rPr>
        <w:t>The</w:t>
      </w:r>
      <w:r w:rsidRPr="002A2B24">
        <w:t xml:space="preserve"> </w:t>
      </w:r>
      <w:r w:rsidRPr="00CD5C34">
        <w:rPr>
          <w:lang w:val="en-US"/>
        </w:rPr>
        <w:t>relationship</w:t>
      </w:r>
      <w:r w:rsidRPr="002A2B24">
        <w:t xml:space="preserve"> </w:t>
      </w:r>
      <w:r w:rsidRPr="00CD5C34">
        <w:rPr>
          <w:lang w:val="en-US"/>
        </w:rPr>
        <w:t>between</w:t>
      </w:r>
      <w:r w:rsidRPr="002A2B24">
        <w:t xml:space="preserve"> </w:t>
      </w:r>
      <w:r w:rsidRPr="00CD5C34">
        <w:rPr>
          <w:lang w:val="en-US"/>
        </w:rPr>
        <w:t>employee</w:t>
      </w:r>
      <w:r w:rsidRPr="002A2B24">
        <w:t xml:space="preserve"> </w:t>
      </w:r>
      <w:r w:rsidRPr="00CD5C34">
        <w:rPr>
          <w:lang w:val="en-US"/>
        </w:rPr>
        <w:t>satisfaction</w:t>
      </w:r>
      <w:r w:rsidRPr="002A2B24">
        <w:t xml:space="preserve"> </w:t>
      </w:r>
      <w:r w:rsidRPr="00CD5C34">
        <w:rPr>
          <w:lang w:val="en-US"/>
        </w:rPr>
        <w:t>and</w:t>
      </w:r>
      <w:r w:rsidRPr="002A2B24">
        <w:t xml:space="preserve"> </w:t>
      </w:r>
      <w:r w:rsidRPr="00CD5C34">
        <w:rPr>
          <w:lang w:val="en-US"/>
        </w:rPr>
        <w:t>customer</w:t>
      </w:r>
      <w:r w:rsidRPr="002A2B24">
        <w:t xml:space="preserve"> </w:t>
      </w:r>
      <w:r w:rsidRPr="00CD5C34">
        <w:rPr>
          <w:lang w:val="en-US"/>
        </w:rPr>
        <w:t xml:space="preserve">satisfaction", Journal of Services Marketing, </w:t>
      </w:r>
      <w:r w:rsidR="00651FFE">
        <w:t>2012</w:t>
      </w:r>
      <w:r w:rsidR="00651FFE">
        <w:rPr>
          <w:lang w:val="en-US"/>
        </w:rPr>
        <w:t>.</w:t>
      </w:r>
      <w:r w:rsidR="00651FFE" w:rsidRPr="002A2B24">
        <w:t xml:space="preserve"> </w:t>
      </w:r>
      <w:r w:rsidRPr="00CD5C34">
        <w:rPr>
          <w:lang w:val="en-US"/>
        </w:rPr>
        <w:t xml:space="preserve">Vol. 26 Iss: 5, pp.332 </w:t>
      </w:r>
      <w:r w:rsidR="00651FFE">
        <w:rPr>
          <w:lang w:val="en-US"/>
        </w:rPr>
        <w:t>–</w:t>
      </w:r>
      <w:r w:rsidRPr="00CD5C34">
        <w:rPr>
          <w:lang w:val="en-US"/>
        </w:rPr>
        <w:t xml:space="preserve"> 341</w:t>
      </w:r>
      <w:r w:rsidR="00651FFE">
        <w:rPr>
          <w:lang w:val="en-US"/>
        </w:rPr>
        <w:t>.</w:t>
      </w:r>
    </w:p>
    <w:p w:rsidR="00CD5C34" w:rsidRPr="00651FFE" w:rsidRDefault="00E415BC" w:rsidP="00651FFE">
      <w:pPr>
        <w:pStyle w:val="a5"/>
        <w:numPr>
          <w:ilvl w:val="0"/>
          <w:numId w:val="3"/>
        </w:numPr>
        <w:spacing w:line="360" w:lineRule="auto"/>
      </w:pPr>
      <w:r>
        <w:t xml:space="preserve"> </w:t>
      </w:r>
      <w:r w:rsidR="00651FFE">
        <w:rPr>
          <w:lang w:val="en-US"/>
        </w:rPr>
        <w:t>O’Loughlin C., Coenders G</w:t>
      </w:r>
      <w:r w:rsidR="00CD5C34" w:rsidRPr="00CD5C34">
        <w:rPr>
          <w:lang w:val="en-US"/>
        </w:rPr>
        <w:t>. Application of the European Customer Satisfaction Index to Postal Services. Structural Equation Models versus Partial Least Squares. Departament d’</w:t>
      </w:r>
      <w:r w:rsidR="00651FFE">
        <w:rPr>
          <w:lang w:val="en-US"/>
        </w:rPr>
        <w:t xml:space="preserve">Economia, Universitat de Girona. 2002. </w:t>
      </w:r>
      <w:r w:rsidR="00651FFE" w:rsidRPr="0067578E">
        <w:t xml:space="preserve">[Електронний ресурс]: </w:t>
      </w:r>
      <w:r w:rsidR="00651FFE" w:rsidRPr="00334AB6">
        <w:t>(дата звернення: 20.07.2014).</w:t>
      </w:r>
    </w:p>
    <w:p w:rsidR="00CD5C34" w:rsidRPr="00CD5C34" w:rsidRDefault="00E415BC" w:rsidP="00B05F2B">
      <w:pPr>
        <w:pStyle w:val="a5"/>
        <w:numPr>
          <w:ilvl w:val="0"/>
          <w:numId w:val="3"/>
        </w:numPr>
        <w:spacing w:line="360" w:lineRule="auto"/>
        <w:rPr>
          <w:lang w:val="en-US"/>
        </w:rPr>
      </w:pPr>
      <w:r>
        <w:t xml:space="preserve"> </w:t>
      </w:r>
      <w:r w:rsidR="00CD5C34" w:rsidRPr="005172A2">
        <w:t>The Relationship between Job Satisfaction of Employee and Customer Satisfaction, (Case Study: Insurance Companies in City of Rasht)</w:t>
      </w:r>
      <w:r w:rsidR="00CD5C34">
        <w:t xml:space="preserve"> </w:t>
      </w:r>
      <w:r w:rsidR="00CD5C34" w:rsidRPr="005172A2">
        <w:t>Universal Journal of Management and Social Sciences Vol. 3, No.12; December 2013</w:t>
      </w:r>
      <w:r w:rsidR="00CD5C34" w:rsidRPr="00CD5C34">
        <w:rPr>
          <w:lang w:val="en-US"/>
        </w:rPr>
        <w:t>.</w:t>
      </w:r>
    </w:p>
    <w:p w:rsidR="00CD5C34" w:rsidRPr="00CD5C34" w:rsidRDefault="00E415BC" w:rsidP="009F78F1">
      <w:pPr>
        <w:pStyle w:val="a5"/>
        <w:numPr>
          <w:ilvl w:val="0"/>
          <w:numId w:val="3"/>
        </w:numPr>
        <w:spacing w:line="360" w:lineRule="auto"/>
      </w:pPr>
      <w:r>
        <w:t xml:space="preserve"> </w:t>
      </w:r>
      <w:r w:rsidR="00CD5C34" w:rsidRPr="006F766A">
        <w:rPr>
          <w:lang w:val="en-US"/>
        </w:rPr>
        <w:t>Zenger</w:t>
      </w:r>
      <w:r w:rsidR="00CD5C34" w:rsidRPr="0067578E">
        <w:t xml:space="preserve"> </w:t>
      </w:r>
      <w:r w:rsidR="00CD5C34" w:rsidRPr="006F766A">
        <w:rPr>
          <w:lang w:val="en-US"/>
        </w:rPr>
        <w:t>J</w:t>
      </w:r>
      <w:r w:rsidR="00CD5C34" w:rsidRPr="0067578E">
        <w:t xml:space="preserve">. </w:t>
      </w:r>
      <w:r w:rsidR="00CD5C34" w:rsidRPr="006F766A">
        <w:rPr>
          <w:lang w:val="en-US"/>
        </w:rPr>
        <w:t>Why</w:t>
      </w:r>
      <w:r w:rsidR="00CD5C34" w:rsidRPr="0067578E">
        <w:t xml:space="preserve"> </w:t>
      </w:r>
      <w:r w:rsidR="00CD5C34" w:rsidRPr="006F766A">
        <w:rPr>
          <w:lang w:val="en-US"/>
        </w:rPr>
        <w:t>Gallup</w:t>
      </w:r>
      <w:r w:rsidR="00CD5C34" w:rsidRPr="0067578E">
        <w:t>'</w:t>
      </w:r>
      <w:r w:rsidR="00CD5C34" w:rsidRPr="006F766A">
        <w:rPr>
          <w:lang w:val="en-US"/>
        </w:rPr>
        <w:t>s</w:t>
      </w:r>
      <w:r w:rsidR="00CD5C34" w:rsidRPr="0067578E">
        <w:t xml:space="preserve"> 70% </w:t>
      </w:r>
      <w:r w:rsidR="00CD5C34" w:rsidRPr="006F766A">
        <w:rPr>
          <w:lang w:val="en-US"/>
        </w:rPr>
        <w:t>Disengagement</w:t>
      </w:r>
      <w:r w:rsidR="00CD5C34" w:rsidRPr="0067578E">
        <w:t xml:space="preserve"> </w:t>
      </w:r>
      <w:r w:rsidR="00CD5C34" w:rsidRPr="006F766A">
        <w:rPr>
          <w:lang w:val="en-US"/>
        </w:rPr>
        <w:t>Data</w:t>
      </w:r>
      <w:r w:rsidR="00CD5C34" w:rsidRPr="0067578E">
        <w:t xml:space="preserve"> </w:t>
      </w:r>
      <w:r w:rsidR="00CD5C34" w:rsidRPr="006F766A">
        <w:rPr>
          <w:lang w:val="en-US"/>
        </w:rPr>
        <w:t>Is</w:t>
      </w:r>
      <w:r w:rsidR="00CD5C34" w:rsidRPr="0067578E">
        <w:t xml:space="preserve"> </w:t>
      </w:r>
      <w:r w:rsidR="00CD5C34" w:rsidRPr="006F766A">
        <w:rPr>
          <w:lang w:val="en-US"/>
        </w:rPr>
        <w:t>Wrong</w:t>
      </w:r>
      <w:r w:rsidR="00CD5C34" w:rsidRPr="0067578E">
        <w:t xml:space="preserve"> [Електронний ресурс]:</w:t>
      </w:r>
      <w:r w:rsidR="00E00085" w:rsidRPr="0067578E">
        <w:t xml:space="preserve"> </w:t>
      </w:r>
      <w:r w:rsidR="00CD5C34" w:rsidRPr="00334AB6">
        <w:t>(дата звернення: 20.07.2014).</w:t>
      </w:r>
      <w:bookmarkStart w:id="0" w:name="_GoBack"/>
      <w:bookmarkEnd w:id="0"/>
    </w:p>
    <w:sectPr w:rsidR="00CD5C34" w:rsidRPr="00CD5C34" w:rsidSect="009A2752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FE" w:rsidRDefault="008F54FE" w:rsidP="00AF45E1">
      <w:pPr>
        <w:spacing w:line="240" w:lineRule="auto"/>
      </w:pPr>
      <w:r>
        <w:separator/>
      </w:r>
    </w:p>
  </w:endnote>
  <w:endnote w:type="continuationSeparator" w:id="0">
    <w:p w:rsidR="008F54FE" w:rsidRDefault="008F54FE" w:rsidP="00AF4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FE" w:rsidRDefault="008F54FE" w:rsidP="00AF45E1">
      <w:pPr>
        <w:spacing w:line="240" w:lineRule="auto"/>
      </w:pPr>
      <w:r>
        <w:separator/>
      </w:r>
    </w:p>
  </w:footnote>
  <w:footnote w:type="continuationSeparator" w:id="0">
    <w:p w:rsidR="008F54FE" w:rsidRDefault="008F54FE" w:rsidP="00AF45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F1070"/>
    <w:multiLevelType w:val="hybridMultilevel"/>
    <w:tmpl w:val="1400BF9C"/>
    <w:lvl w:ilvl="0" w:tplc="6AE4270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A2F91"/>
    <w:multiLevelType w:val="hybridMultilevel"/>
    <w:tmpl w:val="28DE4AD8"/>
    <w:lvl w:ilvl="0" w:tplc="89FAC0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F52D6"/>
    <w:multiLevelType w:val="hybridMultilevel"/>
    <w:tmpl w:val="ED7C73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EC"/>
    <w:rsid w:val="00014B1F"/>
    <w:rsid w:val="00146C3B"/>
    <w:rsid w:val="001948B3"/>
    <w:rsid w:val="002157CA"/>
    <w:rsid w:val="0029207A"/>
    <w:rsid w:val="002A2B24"/>
    <w:rsid w:val="002F57FA"/>
    <w:rsid w:val="00315465"/>
    <w:rsid w:val="00334AB6"/>
    <w:rsid w:val="003C2E48"/>
    <w:rsid w:val="003D163D"/>
    <w:rsid w:val="003E3F77"/>
    <w:rsid w:val="004074A0"/>
    <w:rsid w:val="004778B2"/>
    <w:rsid w:val="00493F46"/>
    <w:rsid w:val="004D3F54"/>
    <w:rsid w:val="005172A2"/>
    <w:rsid w:val="00564833"/>
    <w:rsid w:val="00567FA0"/>
    <w:rsid w:val="00572768"/>
    <w:rsid w:val="00594DF5"/>
    <w:rsid w:val="005B1893"/>
    <w:rsid w:val="005C4CC5"/>
    <w:rsid w:val="005F62CB"/>
    <w:rsid w:val="00651FFE"/>
    <w:rsid w:val="0067578E"/>
    <w:rsid w:val="006A6062"/>
    <w:rsid w:val="006A7308"/>
    <w:rsid w:val="006E33D1"/>
    <w:rsid w:val="006F766A"/>
    <w:rsid w:val="007E134C"/>
    <w:rsid w:val="008312E1"/>
    <w:rsid w:val="00855FFC"/>
    <w:rsid w:val="00857E6C"/>
    <w:rsid w:val="00864C35"/>
    <w:rsid w:val="008B2278"/>
    <w:rsid w:val="008F54FE"/>
    <w:rsid w:val="0090054D"/>
    <w:rsid w:val="00906A1F"/>
    <w:rsid w:val="009725F1"/>
    <w:rsid w:val="009902EA"/>
    <w:rsid w:val="009A2752"/>
    <w:rsid w:val="009D69EC"/>
    <w:rsid w:val="00A26463"/>
    <w:rsid w:val="00A725CA"/>
    <w:rsid w:val="00AC1AE6"/>
    <w:rsid w:val="00AF45E1"/>
    <w:rsid w:val="00B05F2B"/>
    <w:rsid w:val="00B6504B"/>
    <w:rsid w:val="00BF0079"/>
    <w:rsid w:val="00C20E06"/>
    <w:rsid w:val="00C4035B"/>
    <w:rsid w:val="00CD5C34"/>
    <w:rsid w:val="00CE0D68"/>
    <w:rsid w:val="00D107CF"/>
    <w:rsid w:val="00D54592"/>
    <w:rsid w:val="00D62060"/>
    <w:rsid w:val="00D8433E"/>
    <w:rsid w:val="00DC40EC"/>
    <w:rsid w:val="00E00085"/>
    <w:rsid w:val="00E06A42"/>
    <w:rsid w:val="00E21E60"/>
    <w:rsid w:val="00E415BC"/>
    <w:rsid w:val="00E970A7"/>
    <w:rsid w:val="00F00421"/>
    <w:rsid w:val="00F50960"/>
    <w:rsid w:val="00F56544"/>
    <w:rsid w:val="00F8128F"/>
    <w:rsid w:val="00F81B57"/>
    <w:rsid w:val="00FC55E6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2E6B5-66E9-4682-9C1F-F3FE0051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308"/>
    <w:pPr>
      <w:spacing w:after="0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aliases w:val="Оля для содержания"/>
    <w:basedOn w:val="a"/>
    <w:next w:val="a"/>
    <w:link w:val="10"/>
    <w:autoRedefine/>
    <w:uiPriority w:val="9"/>
    <w:qFormat/>
    <w:rsid w:val="00C4035B"/>
    <w:pPr>
      <w:keepNext/>
      <w:keepLines/>
      <w:spacing w:line="360" w:lineRule="auto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Оля для содержания Знак"/>
    <w:basedOn w:val="a0"/>
    <w:link w:val="1"/>
    <w:uiPriority w:val="9"/>
    <w:rsid w:val="00C4035B"/>
    <w:rPr>
      <w:rFonts w:ascii="Times New Roman" w:eastAsiaTheme="majorEastAsia" w:hAnsi="Times New Roman" w:cstheme="majorBidi"/>
      <w:sz w:val="28"/>
      <w:szCs w:val="32"/>
    </w:rPr>
  </w:style>
  <w:style w:type="paragraph" w:customStyle="1" w:styleId="a3">
    <w:name w:val="Олин"/>
    <w:basedOn w:val="1"/>
    <w:link w:val="a4"/>
    <w:autoRedefine/>
    <w:qFormat/>
    <w:rsid w:val="00D62060"/>
    <w:pPr>
      <w:contextualSpacing/>
      <w:jc w:val="center"/>
    </w:pPr>
    <w:rPr>
      <w:rFonts w:eastAsiaTheme="minorEastAsia" w:cs="Times New Roman"/>
      <w:b/>
      <w:color w:val="2E74B5" w:themeColor="accent1" w:themeShade="BF"/>
      <w:szCs w:val="28"/>
      <w:lang w:eastAsia="ru-RU"/>
    </w:rPr>
  </w:style>
  <w:style w:type="character" w:customStyle="1" w:styleId="a4">
    <w:name w:val="Олин Знак"/>
    <w:basedOn w:val="10"/>
    <w:link w:val="a3"/>
    <w:rsid w:val="00D62060"/>
    <w:rPr>
      <w:rFonts w:ascii="Times New Roman" w:eastAsiaTheme="minorEastAsia" w:hAnsi="Times New Roman" w:cs="Times New Roman"/>
      <w:b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812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504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F45E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45E1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AF45E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45E1"/>
    <w:rPr>
      <w:rFonts w:ascii="Times New Roman" w:hAnsi="Times New Roman" w:cs="Times New Roman"/>
      <w:sz w:val="28"/>
    </w:rPr>
  </w:style>
  <w:style w:type="character" w:styleId="ab">
    <w:name w:val="annotation reference"/>
    <w:basedOn w:val="a0"/>
    <w:uiPriority w:val="99"/>
    <w:semiHidden/>
    <w:unhideWhenUsed/>
    <w:rsid w:val="009A275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275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2752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275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2752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A2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A2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ukraine.org.ua/blogs/hr/hr-stati/4537-pidbor-kadriv-chi-mozhna-sprognozuvati-loyalnist-na-etapi-pidbo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6142</Words>
  <Characters>3502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Оляна</dc:creator>
  <cp:keywords/>
  <dc:description/>
  <cp:lastModifiedBy>Оляна</cp:lastModifiedBy>
  <cp:revision>2</cp:revision>
  <dcterms:created xsi:type="dcterms:W3CDTF">2014-09-19T07:07:00Z</dcterms:created>
  <dcterms:modified xsi:type="dcterms:W3CDTF">2014-09-19T07:07:00Z</dcterms:modified>
</cp:coreProperties>
</file>